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A8D87" w14:textId="716CD5A7" w:rsidR="00975170" w:rsidRDefault="0042785E" w:rsidP="00572ECC">
      <w:pPr>
        <w:pStyle w:val="Heading1"/>
      </w:pPr>
      <w:r w:rsidRPr="00572ECC">
        <w:t>EMPLOYABILITY</w:t>
      </w:r>
      <w:r w:rsidRPr="006451D6">
        <w:t xml:space="preserve"> TOOLKIT</w:t>
      </w:r>
      <w:r w:rsidR="007A5EFC">
        <w:t xml:space="preserve"> – REFLECTION ON EMPLOYABILITY &amp; TECHNICAL SKILLS</w:t>
      </w:r>
    </w:p>
    <w:p w14:paraId="371F6A93" w14:textId="52F894F5" w:rsidR="112A1795" w:rsidRDefault="7DFFA071" w:rsidP="00572ECC">
      <w:pPr>
        <w:rPr>
          <w:i/>
          <w:iCs/>
          <w:sz w:val="20"/>
          <w:szCs w:val="22"/>
        </w:rPr>
      </w:pPr>
      <w:r w:rsidRPr="00572ECC">
        <w:rPr>
          <w:i/>
          <w:iCs/>
          <w:sz w:val="20"/>
          <w:szCs w:val="22"/>
        </w:rPr>
        <w:t xml:space="preserve">This task is one of an integrated but adaptable set developed by the Careers and Employability team for Flinders University educators to improve student preparedness for the 'world of work'. Use it as the basis for an assessment, non-graded assessment, or activity. Further information and the full framework </w:t>
      </w:r>
      <w:proofErr w:type="gramStart"/>
      <w:r w:rsidRPr="00572ECC">
        <w:rPr>
          <w:i/>
          <w:iCs/>
          <w:sz w:val="20"/>
          <w:szCs w:val="22"/>
        </w:rPr>
        <w:t>is</w:t>
      </w:r>
      <w:proofErr w:type="gramEnd"/>
      <w:r w:rsidRPr="00572ECC">
        <w:rPr>
          <w:i/>
          <w:iCs/>
          <w:sz w:val="20"/>
          <w:szCs w:val="22"/>
        </w:rPr>
        <w:t xml:space="preserve"> </w:t>
      </w:r>
      <w:hyperlink r:id="rId11">
        <w:r w:rsidRPr="00572ECC">
          <w:rPr>
            <w:rStyle w:val="Hyperlink"/>
            <w:i/>
            <w:iCs/>
            <w:sz w:val="20"/>
            <w:szCs w:val="22"/>
          </w:rPr>
          <w:t>located here</w:t>
        </w:r>
      </w:hyperlink>
      <w:r w:rsidRPr="00572ECC">
        <w:rPr>
          <w:i/>
          <w:iCs/>
          <w:sz w:val="20"/>
          <w:szCs w:val="22"/>
        </w:rPr>
        <w:t>. Topic Coordinators are welcome to adapt these to purpose.</w:t>
      </w:r>
    </w:p>
    <w:p w14:paraId="2577652E" w14:textId="77777777" w:rsidR="00572ECC" w:rsidRPr="00572ECC" w:rsidRDefault="00572ECC" w:rsidP="00572ECC">
      <w:pPr>
        <w:rPr>
          <w:i/>
          <w:iCs/>
          <w:sz w:val="20"/>
          <w:szCs w:val="22"/>
        </w:rPr>
      </w:pPr>
    </w:p>
    <w:tbl>
      <w:tblPr>
        <w:tblStyle w:val="TableGrid"/>
        <w:tblW w:w="5000" w:type="pct"/>
        <w:tblInd w:w="0" w:type="dxa"/>
        <w:tblLook w:val="04A0" w:firstRow="1" w:lastRow="0" w:firstColumn="1" w:lastColumn="0" w:noHBand="0" w:noVBand="1"/>
      </w:tblPr>
      <w:tblGrid>
        <w:gridCol w:w="1612"/>
        <w:gridCol w:w="7851"/>
      </w:tblGrid>
      <w:tr w:rsidR="00B5110E" w:rsidRPr="00572ECC" w14:paraId="77899D62" w14:textId="77777777" w:rsidTr="00572ECC">
        <w:trPr>
          <w:trHeight w:val="396"/>
        </w:trPr>
        <w:tc>
          <w:tcPr>
            <w:tcW w:w="852" w:type="pct"/>
            <w:shd w:val="clear" w:color="auto" w:fill="B4C6E7" w:themeFill="accent1" w:themeFillTint="66"/>
          </w:tcPr>
          <w:p w14:paraId="0E0CE7BD" w14:textId="26DA74EA" w:rsidR="00B5110E" w:rsidRPr="00572ECC" w:rsidRDefault="00B5110E" w:rsidP="00572ECC">
            <w:pPr>
              <w:rPr>
                <w:b/>
                <w:bCs/>
              </w:rPr>
            </w:pPr>
            <w:r w:rsidRPr="00572ECC">
              <w:rPr>
                <w:b/>
                <w:bCs/>
              </w:rPr>
              <w:t>Task</w:t>
            </w:r>
          </w:p>
        </w:tc>
        <w:tc>
          <w:tcPr>
            <w:tcW w:w="4148" w:type="pct"/>
          </w:tcPr>
          <w:p w14:paraId="2022F123" w14:textId="2B942290" w:rsidR="00B5110E" w:rsidRPr="00572ECC" w:rsidRDefault="00A6715F" w:rsidP="00572ECC">
            <w:r w:rsidRPr="00572ECC">
              <w:t>Employability</w:t>
            </w:r>
            <w:r w:rsidR="006930E9" w:rsidRPr="00572ECC">
              <w:t xml:space="preserve"> and Technical</w:t>
            </w:r>
            <w:r w:rsidRPr="00572ECC">
              <w:t xml:space="preserve"> Skills</w:t>
            </w:r>
          </w:p>
        </w:tc>
      </w:tr>
      <w:tr w:rsidR="007A2B92" w:rsidRPr="00572ECC" w14:paraId="58741562" w14:textId="77777777" w:rsidTr="00572ECC">
        <w:trPr>
          <w:trHeight w:val="396"/>
        </w:trPr>
        <w:tc>
          <w:tcPr>
            <w:tcW w:w="852" w:type="pct"/>
            <w:shd w:val="clear" w:color="auto" w:fill="B4C6E7" w:themeFill="accent1" w:themeFillTint="66"/>
          </w:tcPr>
          <w:p w14:paraId="2F014EDC" w14:textId="25C3ED0E" w:rsidR="007A2B92" w:rsidRPr="00572ECC" w:rsidRDefault="007A2B92" w:rsidP="00572ECC">
            <w:pPr>
              <w:rPr>
                <w:b/>
                <w:bCs/>
              </w:rPr>
            </w:pPr>
            <w:r w:rsidRPr="00572ECC">
              <w:rPr>
                <w:b/>
                <w:bCs/>
              </w:rPr>
              <w:t>Task type</w:t>
            </w:r>
          </w:p>
        </w:tc>
        <w:tc>
          <w:tcPr>
            <w:tcW w:w="4148" w:type="pct"/>
          </w:tcPr>
          <w:p w14:paraId="603B27D6" w14:textId="3292C701" w:rsidR="007A2B92" w:rsidRPr="00572ECC" w:rsidRDefault="00A6715F" w:rsidP="00572ECC">
            <w:r w:rsidRPr="00572ECC">
              <w:t xml:space="preserve">Reflective Essay </w:t>
            </w:r>
          </w:p>
        </w:tc>
      </w:tr>
      <w:tr w:rsidR="007A2B92" w:rsidRPr="00572ECC" w14:paraId="6AEB9A87" w14:textId="77777777" w:rsidTr="00572ECC">
        <w:trPr>
          <w:trHeight w:val="421"/>
        </w:trPr>
        <w:tc>
          <w:tcPr>
            <w:tcW w:w="852" w:type="pct"/>
            <w:shd w:val="clear" w:color="auto" w:fill="B4C6E7" w:themeFill="accent1" w:themeFillTint="66"/>
          </w:tcPr>
          <w:p w14:paraId="37461B4F" w14:textId="4694DD90" w:rsidR="007A2B92" w:rsidRPr="00572ECC" w:rsidRDefault="007A2B92" w:rsidP="00572ECC">
            <w:pPr>
              <w:rPr>
                <w:b/>
                <w:bCs/>
              </w:rPr>
            </w:pPr>
            <w:r w:rsidRPr="00572ECC">
              <w:rPr>
                <w:b/>
                <w:bCs/>
              </w:rPr>
              <w:t>Length </w:t>
            </w:r>
          </w:p>
        </w:tc>
        <w:tc>
          <w:tcPr>
            <w:tcW w:w="4148" w:type="pct"/>
          </w:tcPr>
          <w:p w14:paraId="17928456" w14:textId="562A1E62" w:rsidR="007A2B92" w:rsidRPr="00572ECC" w:rsidRDefault="00A6715F" w:rsidP="00572ECC">
            <w:r w:rsidRPr="00572ECC">
              <w:t>1000-1500 words</w:t>
            </w:r>
          </w:p>
        </w:tc>
      </w:tr>
      <w:tr w:rsidR="00F90CE2" w:rsidRPr="00572ECC" w14:paraId="37854082" w14:textId="77777777" w:rsidTr="00572ECC">
        <w:trPr>
          <w:trHeight w:val="399"/>
        </w:trPr>
        <w:tc>
          <w:tcPr>
            <w:tcW w:w="852" w:type="pct"/>
            <w:shd w:val="clear" w:color="auto" w:fill="B4C6E7" w:themeFill="accent1" w:themeFillTint="66"/>
          </w:tcPr>
          <w:p w14:paraId="74E7C715" w14:textId="2BC2B748" w:rsidR="00F90CE2" w:rsidRPr="00572ECC" w:rsidRDefault="00F90CE2" w:rsidP="00572ECC">
            <w:pPr>
              <w:rPr>
                <w:b/>
                <w:bCs/>
              </w:rPr>
            </w:pPr>
            <w:r w:rsidRPr="00572ECC">
              <w:rPr>
                <w:b/>
                <w:bCs/>
              </w:rPr>
              <w:t>Learning outcomes*</w:t>
            </w:r>
          </w:p>
        </w:tc>
        <w:tc>
          <w:tcPr>
            <w:tcW w:w="4148" w:type="pct"/>
          </w:tcPr>
          <w:p w14:paraId="7ACD7819" w14:textId="77777777" w:rsidR="00F90CE2" w:rsidRPr="00572ECC" w:rsidRDefault="00F90CE2" w:rsidP="00572ECC"/>
        </w:tc>
      </w:tr>
      <w:tr w:rsidR="00714014" w:rsidRPr="00572ECC" w14:paraId="3ED14B66" w14:textId="77777777" w:rsidTr="00572ECC">
        <w:trPr>
          <w:trHeight w:val="399"/>
        </w:trPr>
        <w:tc>
          <w:tcPr>
            <w:tcW w:w="852" w:type="pct"/>
            <w:shd w:val="clear" w:color="auto" w:fill="B4C6E7" w:themeFill="accent1" w:themeFillTint="66"/>
          </w:tcPr>
          <w:p w14:paraId="43FBA55F" w14:textId="50B6D096" w:rsidR="00714014" w:rsidRPr="00572ECC" w:rsidRDefault="00714014" w:rsidP="00572ECC">
            <w:pPr>
              <w:rPr>
                <w:b/>
                <w:bCs/>
              </w:rPr>
            </w:pPr>
            <w:r w:rsidRPr="00572ECC">
              <w:rPr>
                <w:b/>
                <w:bCs/>
              </w:rPr>
              <w:t>Employability skills</w:t>
            </w:r>
          </w:p>
        </w:tc>
        <w:tc>
          <w:tcPr>
            <w:tcW w:w="4148" w:type="pct"/>
          </w:tcPr>
          <w:p w14:paraId="28040F72" w14:textId="106CEB61" w:rsidR="00714014" w:rsidRPr="00572ECC" w:rsidRDefault="00714014" w:rsidP="00572ECC">
            <w:r w:rsidRPr="00572ECC">
              <w:t>Reflection; communication; self-management</w:t>
            </w:r>
          </w:p>
        </w:tc>
      </w:tr>
      <w:tr w:rsidR="00F90CE2" w:rsidRPr="00572ECC" w14:paraId="3BEB7FDC" w14:textId="77777777" w:rsidTr="00572ECC">
        <w:trPr>
          <w:trHeight w:val="399"/>
        </w:trPr>
        <w:tc>
          <w:tcPr>
            <w:tcW w:w="852" w:type="pct"/>
            <w:shd w:val="clear" w:color="auto" w:fill="B4C6E7" w:themeFill="accent1" w:themeFillTint="66"/>
          </w:tcPr>
          <w:p w14:paraId="145426DD" w14:textId="4BBA940C" w:rsidR="00F90CE2" w:rsidRPr="00572ECC" w:rsidRDefault="00572ECC" w:rsidP="00572ECC">
            <w:pPr>
              <w:rPr>
                <w:b/>
                <w:bCs/>
              </w:rPr>
            </w:pPr>
            <w:hyperlink r:id="rId12" w:history="1">
              <w:r w:rsidR="002D17DA" w:rsidRPr="00572ECC">
                <w:rPr>
                  <w:rStyle w:val="Hyperlink"/>
                  <w:b/>
                  <w:bCs/>
                </w:rPr>
                <w:t>Employability Toolkit Category</w:t>
              </w:r>
            </w:hyperlink>
          </w:p>
        </w:tc>
        <w:tc>
          <w:tcPr>
            <w:tcW w:w="4148" w:type="pct"/>
          </w:tcPr>
          <w:p w14:paraId="7B63BA35" w14:textId="2A39C52B" w:rsidR="00F90CE2" w:rsidRPr="00572ECC" w:rsidRDefault="00F90CE2" w:rsidP="00572ECC">
            <w:r w:rsidRPr="00572ECC">
              <w:t xml:space="preserve">Deepen knowledge of self and sector </w:t>
            </w:r>
          </w:p>
        </w:tc>
      </w:tr>
      <w:tr w:rsidR="00714014" w:rsidRPr="00572ECC" w14:paraId="13986300" w14:textId="77777777" w:rsidTr="00572ECC">
        <w:trPr>
          <w:trHeight w:val="399"/>
        </w:trPr>
        <w:tc>
          <w:tcPr>
            <w:tcW w:w="852" w:type="pct"/>
            <w:shd w:val="clear" w:color="auto" w:fill="B4C6E7" w:themeFill="accent1" w:themeFillTint="66"/>
          </w:tcPr>
          <w:p w14:paraId="460BBEAA" w14:textId="1B0C0D68" w:rsidR="00714014" w:rsidRPr="00572ECC" w:rsidRDefault="00714014" w:rsidP="00572ECC">
            <w:pPr>
              <w:rPr>
                <w:b/>
                <w:bCs/>
              </w:rPr>
            </w:pPr>
            <w:r w:rsidRPr="00572ECC">
              <w:rPr>
                <w:b/>
                <w:bCs/>
              </w:rPr>
              <w:t>ABCD*</w:t>
            </w:r>
            <w:r w:rsidR="00F90CE2" w:rsidRPr="00572ECC">
              <w:rPr>
                <w:b/>
                <w:bCs/>
              </w:rPr>
              <w:t>*</w:t>
            </w:r>
          </w:p>
        </w:tc>
        <w:tc>
          <w:tcPr>
            <w:tcW w:w="4148" w:type="pct"/>
          </w:tcPr>
          <w:p w14:paraId="4B9E510E" w14:textId="1B343D8E" w:rsidR="00714014" w:rsidRPr="00572ECC" w:rsidRDefault="00714014" w:rsidP="00572ECC">
            <w:r w:rsidRPr="00572ECC">
              <w:t>Career building: students will participate in continuous learning supportive of career goals (C4, P3)</w:t>
            </w:r>
          </w:p>
        </w:tc>
      </w:tr>
    </w:tbl>
    <w:p w14:paraId="533900E4" w14:textId="35C7A46E" w:rsidR="0088786C" w:rsidRPr="00572ECC" w:rsidRDefault="00814427" w:rsidP="0088786C">
      <w:pPr>
        <w:rPr>
          <w:i/>
          <w:iCs/>
          <w:sz w:val="20"/>
          <w:szCs w:val="20"/>
        </w:rPr>
      </w:pPr>
      <w:r w:rsidRPr="0088786C">
        <w:rPr>
          <w:i/>
          <w:iCs/>
          <w:sz w:val="20"/>
          <w:szCs w:val="20"/>
        </w:rPr>
        <w:t xml:space="preserve">*Topic Coordinator to map to learning outcomes; **Mapped to </w:t>
      </w:r>
      <w:hyperlink r:id="rId13" w:history="1">
        <w:r w:rsidRPr="0088786C">
          <w:rPr>
            <w:rStyle w:val="Hyperlink"/>
            <w:i/>
            <w:iCs/>
            <w:sz w:val="20"/>
            <w:szCs w:val="20"/>
          </w:rPr>
          <w:t>Australian Blueprint for Career Development</w:t>
        </w:r>
      </w:hyperlink>
      <w:r w:rsidRPr="0088786C">
        <w:rPr>
          <w:i/>
          <w:iCs/>
          <w:sz w:val="20"/>
          <w:szCs w:val="20"/>
        </w:rPr>
        <w:t xml:space="preserve"> </w:t>
      </w:r>
    </w:p>
    <w:p w14:paraId="5406AF6C" w14:textId="5804C264" w:rsidR="00BC1E40" w:rsidRPr="007A5EFC" w:rsidRDefault="00BC1E40" w:rsidP="00572ECC">
      <w:pPr>
        <w:pStyle w:val="Heading2"/>
      </w:pPr>
      <w:r w:rsidRPr="007A5EFC">
        <w:t>Task Objectives</w:t>
      </w:r>
    </w:p>
    <w:p w14:paraId="0B41068E" w14:textId="19EE0547" w:rsidR="00A6715F" w:rsidRPr="0088786C" w:rsidRDefault="00A6715F" w:rsidP="0088786C">
      <w:pPr>
        <w:pStyle w:val="ListParagraph"/>
        <w:numPr>
          <w:ilvl w:val="0"/>
          <w:numId w:val="20"/>
        </w:numPr>
      </w:pPr>
      <w:r w:rsidRPr="0088786C">
        <w:t xml:space="preserve">Reflect critically on formal skills and knowledge development, and align this learning to future workplace needs </w:t>
      </w:r>
    </w:p>
    <w:p w14:paraId="710EBD9E" w14:textId="77777777" w:rsidR="007A5EFC" w:rsidRPr="007A5EFC" w:rsidRDefault="00656642" w:rsidP="00572ECC">
      <w:pPr>
        <w:pStyle w:val="Heading2"/>
      </w:pPr>
      <w:r w:rsidRPr="00572ECC">
        <w:t>Task Rationale</w:t>
      </w:r>
    </w:p>
    <w:p w14:paraId="5BE9F92A" w14:textId="6D013F26" w:rsidR="00BC221E" w:rsidRPr="00572ECC" w:rsidRDefault="00BE68F6" w:rsidP="00572ECC">
      <w:pPr>
        <w:rPr>
          <w:i/>
          <w:iCs/>
        </w:rPr>
      </w:pPr>
      <w:r w:rsidRPr="00572ECC">
        <w:rPr>
          <w:i/>
          <w:iCs/>
        </w:rPr>
        <w:t>[</w:t>
      </w:r>
      <w:r w:rsidR="00A62826" w:rsidRPr="00572ECC">
        <w:rPr>
          <w:i/>
          <w:iCs/>
        </w:rPr>
        <w:t>‘Employability</w:t>
      </w:r>
      <w:r w:rsidR="00675E95" w:rsidRPr="00572ECC">
        <w:rPr>
          <w:i/>
          <w:iCs/>
        </w:rPr>
        <w:t>’,</w:t>
      </w:r>
      <w:r w:rsidRPr="00572ECC">
        <w:rPr>
          <w:i/>
          <w:iCs/>
        </w:rPr>
        <w:t xml:space="preserve"> ‘enterprise’</w:t>
      </w:r>
      <w:r w:rsidR="0026758C" w:rsidRPr="00572ECC">
        <w:rPr>
          <w:i/>
          <w:iCs/>
        </w:rPr>
        <w:t>, ‘transferable’</w:t>
      </w:r>
      <w:r w:rsidR="004532F9" w:rsidRPr="00572ECC">
        <w:rPr>
          <w:i/>
          <w:iCs/>
        </w:rPr>
        <w:t>, ‘personal’</w:t>
      </w:r>
      <w:r w:rsidRPr="00572ECC">
        <w:rPr>
          <w:i/>
          <w:iCs/>
        </w:rPr>
        <w:t xml:space="preserve"> </w:t>
      </w:r>
      <w:r w:rsidR="00675E95" w:rsidRPr="00572ECC">
        <w:rPr>
          <w:i/>
          <w:iCs/>
        </w:rPr>
        <w:t xml:space="preserve">or ‘soft’ </w:t>
      </w:r>
      <w:r w:rsidRPr="00572ECC">
        <w:rPr>
          <w:i/>
          <w:iCs/>
        </w:rPr>
        <w:t>skills</w:t>
      </w:r>
      <w:r w:rsidR="00F342F9" w:rsidRPr="00572ECC">
        <w:rPr>
          <w:i/>
          <w:iCs/>
        </w:rPr>
        <w:t xml:space="preserve"> </w:t>
      </w:r>
      <w:proofErr w:type="gramStart"/>
      <w:r w:rsidR="00F342F9" w:rsidRPr="00572ECC">
        <w:rPr>
          <w:i/>
          <w:iCs/>
        </w:rPr>
        <w:t>are</w:t>
      </w:r>
      <w:r w:rsidRPr="00572ECC">
        <w:rPr>
          <w:i/>
          <w:iCs/>
        </w:rPr>
        <w:t>]</w:t>
      </w:r>
      <w:r w:rsidR="00BC221E" w:rsidRPr="00572ECC">
        <w:rPr>
          <w:i/>
          <w:iCs/>
        </w:rPr>
        <w:t>…</w:t>
      </w:r>
      <w:proofErr w:type="gramEnd"/>
      <w:r w:rsidR="00A62826" w:rsidRPr="00572ECC">
        <w:rPr>
          <w:i/>
          <w:iCs/>
        </w:rPr>
        <w:t>skills that allow</w:t>
      </w:r>
      <w:r w:rsidR="00BC221E" w:rsidRPr="00572ECC">
        <w:rPr>
          <w:i/>
          <w:iCs/>
        </w:rPr>
        <w:t>…</w:t>
      </w:r>
      <w:r w:rsidR="00A62826" w:rsidRPr="00572ECC">
        <w:rPr>
          <w:i/>
          <w:iCs/>
        </w:rPr>
        <w:t xml:space="preserve">people to be enterprising so they can navigate complex careers across a range of industries and professions. They include problem solving, financial literacy, digital literacy, teamwork, and communication and are different from technical skills which are specific to a particular task, </w:t>
      </w:r>
      <w:proofErr w:type="gramStart"/>
      <w:r w:rsidR="00A62826" w:rsidRPr="00572ECC">
        <w:rPr>
          <w:i/>
          <w:iCs/>
        </w:rPr>
        <w:t>role</w:t>
      </w:r>
      <w:proofErr w:type="gramEnd"/>
      <w:r w:rsidR="00A62826" w:rsidRPr="00572ECC">
        <w:rPr>
          <w:i/>
          <w:iCs/>
        </w:rPr>
        <w:t xml:space="preserve"> or industry.</w:t>
      </w:r>
    </w:p>
    <w:p w14:paraId="5880AC2F" w14:textId="73747B5B" w:rsidR="00EB7F74" w:rsidRPr="00572ECC" w:rsidRDefault="00EB7F74" w:rsidP="00572ECC">
      <w:pPr>
        <w:rPr>
          <w:i/>
          <w:iCs/>
        </w:rPr>
      </w:pPr>
      <w:r w:rsidRPr="00572ECC">
        <w:rPr>
          <w:i/>
          <w:iCs/>
        </w:rPr>
        <w:t>Employers ask for enterprise skills as often as technical skills. In fact, employers now request 20% more enterprise skills than technical skills.</w:t>
      </w:r>
    </w:p>
    <w:p w14:paraId="015EDC05" w14:textId="1B5D7FEC" w:rsidR="00B059BD" w:rsidRPr="00572ECC" w:rsidRDefault="00073DC4" w:rsidP="00572ECC">
      <w:pPr>
        <w:jc w:val="right"/>
      </w:pPr>
      <w:r w:rsidRPr="00572ECC">
        <w:t>Source</w:t>
      </w:r>
      <w:r w:rsidR="00B059BD" w:rsidRPr="00572ECC">
        <w:t xml:space="preserve">: FYA, </w:t>
      </w:r>
      <w:hyperlink r:id="rId14" w:history="1">
        <w:r w:rsidR="00B059BD" w:rsidRPr="00572ECC">
          <w:rPr>
            <w:rStyle w:val="Hyperlink"/>
          </w:rPr>
          <w:t>The New Basics</w:t>
        </w:r>
        <w:r w:rsidR="004B324F" w:rsidRPr="00572ECC">
          <w:rPr>
            <w:rStyle w:val="Hyperlink"/>
          </w:rPr>
          <w:t xml:space="preserve"> 2017</w:t>
        </w:r>
      </w:hyperlink>
      <w:r w:rsidR="00B059BD" w:rsidRPr="00572ECC">
        <w:t xml:space="preserve"> </w:t>
      </w:r>
    </w:p>
    <w:p w14:paraId="7DF65B69" w14:textId="57BE2CC0" w:rsidR="00656642" w:rsidRPr="00572ECC" w:rsidRDefault="00A6715F" w:rsidP="00572ECC">
      <w:r w:rsidRPr="00572ECC">
        <w:t xml:space="preserve">It is important to think about and reflect on your </w:t>
      </w:r>
      <w:r w:rsidR="00111DD8" w:rsidRPr="00572ECC">
        <w:t>academic and life</w:t>
      </w:r>
      <w:r w:rsidRPr="00572ECC">
        <w:t xml:space="preserve"> experiences</w:t>
      </w:r>
      <w:r w:rsidR="00111DD8" w:rsidRPr="00572ECC">
        <w:t xml:space="preserve"> in developing valuable employability</w:t>
      </w:r>
      <w:r w:rsidRPr="00572ECC">
        <w:t xml:space="preserve"> </w:t>
      </w:r>
      <w:r w:rsidR="00111DD8" w:rsidRPr="00572ECC">
        <w:t xml:space="preserve">and </w:t>
      </w:r>
      <w:r w:rsidR="00BC221E" w:rsidRPr="00572ECC">
        <w:t>technical skills</w:t>
      </w:r>
      <w:r w:rsidRPr="00572ECC">
        <w:t xml:space="preserve">. This </w:t>
      </w:r>
      <w:r w:rsidR="009F2977" w:rsidRPr="00572ECC">
        <w:t xml:space="preserve">exercise will </w:t>
      </w:r>
      <w:r w:rsidRPr="00572ECC">
        <w:t xml:space="preserve">help you </w:t>
      </w:r>
      <w:r w:rsidR="009F2977" w:rsidRPr="00572ECC">
        <w:t xml:space="preserve">identify and </w:t>
      </w:r>
      <w:r w:rsidRPr="00572ECC">
        <w:t xml:space="preserve">connect </w:t>
      </w:r>
      <w:r w:rsidR="00273E0D" w:rsidRPr="00572ECC">
        <w:t>your</w:t>
      </w:r>
      <w:r w:rsidRPr="00572ECC">
        <w:t xml:space="preserve"> experiences to the skills and attributes that are important in the workplace</w:t>
      </w:r>
      <w:r w:rsidR="009F2977" w:rsidRPr="00572ECC">
        <w:t xml:space="preserve">. It will also </w:t>
      </w:r>
      <w:r w:rsidR="00062D92" w:rsidRPr="00572ECC">
        <w:t>provid</w:t>
      </w:r>
      <w:r w:rsidR="009F2977" w:rsidRPr="00572ECC">
        <w:t>e</w:t>
      </w:r>
      <w:r w:rsidR="00062D92" w:rsidRPr="00572ECC">
        <w:t xml:space="preserve"> you with the tools to consider and</w:t>
      </w:r>
      <w:r w:rsidR="00B10087" w:rsidRPr="00572ECC">
        <w:t xml:space="preserve"> </w:t>
      </w:r>
      <w:r w:rsidR="006C3D32" w:rsidRPr="00572ECC">
        <w:t>navigate</w:t>
      </w:r>
      <w:r w:rsidR="00B10087" w:rsidRPr="00572ECC">
        <w:t xml:space="preserve"> </w:t>
      </w:r>
      <w:r w:rsidR="00852DBF" w:rsidRPr="00572ECC">
        <w:t xml:space="preserve">future </w:t>
      </w:r>
      <w:r w:rsidR="00B10087" w:rsidRPr="00572ECC">
        <w:t>sector and workplace</w:t>
      </w:r>
      <w:r w:rsidR="0037185B" w:rsidRPr="00572ECC">
        <w:t xml:space="preserve"> </w:t>
      </w:r>
      <w:r w:rsidR="00D87F54" w:rsidRPr="00572ECC">
        <w:t xml:space="preserve">skillset </w:t>
      </w:r>
      <w:r w:rsidR="0037185B" w:rsidRPr="00572ECC">
        <w:t>change</w:t>
      </w:r>
      <w:r w:rsidR="00852DBF" w:rsidRPr="00572ECC">
        <w:t>s</w:t>
      </w:r>
      <w:r w:rsidR="004E0310" w:rsidRPr="00572ECC">
        <w:t>.</w:t>
      </w:r>
    </w:p>
    <w:p w14:paraId="140275BB" w14:textId="731B3117" w:rsidR="00BC1E40" w:rsidRPr="006451D6" w:rsidRDefault="00656642" w:rsidP="00572ECC">
      <w:pPr>
        <w:pStyle w:val="Heading2"/>
      </w:pPr>
      <w:r w:rsidRPr="006451D6">
        <w:t>Task Description</w:t>
      </w:r>
    </w:p>
    <w:p w14:paraId="39021C14" w14:textId="42D3B240" w:rsidR="00A6715F" w:rsidRPr="006451D6" w:rsidRDefault="00A6715F" w:rsidP="00572ECC">
      <w:pPr>
        <w:rPr>
          <w:lang w:eastAsia="en-AU"/>
        </w:rPr>
      </w:pPr>
      <w:r w:rsidRPr="006451D6">
        <w:rPr>
          <w:lang w:eastAsia="en-AU"/>
        </w:rPr>
        <w:t>For this task you need to write a </w:t>
      </w:r>
      <w:r w:rsidRPr="006451D6">
        <w:rPr>
          <w:b/>
          <w:i/>
          <w:iCs/>
          <w:lang w:eastAsia="en-AU"/>
        </w:rPr>
        <w:t xml:space="preserve">1000 - </w:t>
      </w:r>
      <w:proofErr w:type="gramStart"/>
      <w:r w:rsidRPr="006451D6">
        <w:rPr>
          <w:b/>
          <w:i/>
          <w:iCs/>
          <w:lang w:eastAsia="en-AU"/>
        </w:rPr>
        <w:t>1500 word</w:t>
      </w:r>
      <w:proofErr w:type="gramEnd"/>
      <w:r w:rsidRPr="006451D6">
        <w:rPr>
          <w:b/>
          <w:i/>
          <w:iCs/>
          <w:lang w:eastAsia="en-AU"/>
        </w:rPr>
        <w:t xml:space="preserve"> critical reflection</w:t>
      </w:r>
      <w:r w:rsidRPr="006451D6">
        <w:rPr>
          <w:lang w:eastAsia="en-AU"/>
        </w:rPr>
        <w:t xml:space="preserve"> in which you </w:t>
      </w:r>
      <w:r w:rsidRPr="006930E9">
        <w:rPr>
          <w:lang w:eastAsia="en-AU"/>
        </w:rPr>
        <w:t>make links between your university learning</w:t>
      </w:r>
      <w:r w:rsidR="006930E9">
        <w:rPr>
          <w:lang w:eastAsia="en-AU"/>
        </w:rPr>
        <w:t xml:space="preserve"> and</w:t>
      </w:r>
      <w:r w:rsidRPr="006930E9">
        <w:rPr>
          <w:lang w:eastAsia="en-AU"/>
        </w:rPr>
        <w:t xml:space="preserve"> life experience</w:t>
      </w:r>
      <w:r w:rsidR="00E06576" w:rsidRPr="006930E9">
        <w:rPr>
          <w:lang w:eastAsia="en-AU"/>
        </w:rPr>
        <w:t>s</w:t>
      </w:r>
      <w:r w:rsidR="006930E9">
        <w:rPr>
          <w:lang w:eastAsia="en-AU"/>
        </w:rPr>
        <w:t xml:space="preserve"> </w:t>
      </w:r>
      <w:r w:rsidRPr="006930E9">
        <w:rPr>
          <w:lang w:eastAsia="en-AU"/>
        </w:rPr>
        <w:t>with the</w:t>
      </w:r>
      <w:r w:rsidR="00873B6E" w:rsidRPr="006930E9">
        <w:rPr>
          <w:lang w:eastAsia="en-AU"/>
        </w:rPr>
        <w:t xml:space="preserve"> skills and</w:t>
      </w:r>
      <w:r w:rsidRPr="006930E9">
        <w:rPr>
          <w:lang w:eastAsia="en-AU"/>
        </w:rPr>
        <w:t xml:space="preserve"> attributes you will need to be successful in the workplace. </w:t>
      </w:r>
    </w:p>
    <w:p w14:paraId="20FC0CD4" w14:textId="77777777" w:rsidR="00A6715F" w:rsidRPr="00572ECC" w:rsidRDefault="00A6715F" w:rsidP="00572ECC"/>
    <w:p w14:paraId="0084D82B" w14:textId="4CE41F7E" w:rsidR="00A6715F" w:rsidRPr="00572ECC" w:rsidRDefault="00A6715F" w:rsidP="00572ECC">
      <w:r w:rsidRPr="00572ECC">
        <w:t>In your reflection you must:</w:t>
      </w:r>
    </w:p>
    <w:p w14:paraId="0365911D" w14:textId="7D3CA541" w:rsidR="00A6715F" w:rsidRPr="00572ECC" w:rsidRDefault="00A6715F" w:rsidP="00572ECC">
      <w:pPr>
        <w:pStyle w:val="ListParagraph"/>
        <w:numPr>
          <w:ilvl w:val="0"/>
          <w:numId w:val="22"/>
        </w:numPr>
      </w:pPr>
      <w:r w:rsidRPr="00572ECC">
        <w:t>Research relevant literature, including readings provided in this course, to identify the</w:t>
      </w:r>
      <w:r w:rsidR="003872B9" w:rsidRPr="00572ECC">
        <w:t xml:space="preserve"> transferable and technical</w:t>
      </w:r>
      <w:r w:rsidRPr="00572ECC">
        <w:t xml:space="preserve"> skills that are valued by employers of </w:t>
      </w:r>
      <w:r w:rsidR="00B04ACC" w:rsidRPr="00572ECC">
        <w:rPr>
          <w:highlight w:val="yellow"/>
        </w:rPr>
        <w:t>[insert</w:t>
      </w:r>
      <w:r w:rsidR="005B0DC3" w:rsidRPr="00572ECC">
        <w:rPr>
          <w:highlight w:val="yellow"/>
        </w:rPr>
        <w:t xml:space="preserve"> relevant</w:t>
      </w:r>
      <w:r w:rsidR="00B04ACC" w:rsidRPr="00572ECC">
        <w:rPr>
          <w:highlight w:val="yellow"/>
        </w:rPr>
        <w:t xml:space="preserve"> sector]</w:t>
      </w:r>
      <w:r w:rsidR="00B04ACC" w:rsidRPr="00572ECC">
        <w:t xml:space="preserve"> </w:t>
      </w:r>
      <w:r w:rsidRPr="00572ECC">
        <w:t xml:space="preserve">graduates in diverse industries and contexts, now and in the future. </w:t>
      </w:r>
    </w:p>
    <w:p w14:paraId="4F8AD6E8" w14:textId="0C09DA52" w:rsidR="002D661A" w:rsidRPr="00572ECC" w:rsidRDefault="005C2F3A" w:rsidP="00572ECC">
      <w:pPr>
        <w:pStyle w:val="ListParagraph"/>
        <w:numPr>
          <w:ilvl w:val="0"/>
          <w:numId w:val="22"/>
        </w:numPr>
      </w:pPr>
      <w:r w:rsidRPr="00572ECC">
        <w:lastRenderedPageBreak/>
        <w:t xml:space="preserve">Use your research from step 1 to identify </w:t>
      </w:r>
      <w:r w:rsidR="002D661A" w:rsidRPr="00572ECC">
        <w:t xml:space="preserve">4-6 </w:t>
      </w:r>
      <w:r w:rsidRPr="00572ECC">
        <w:t xml:space="preserve">key transferable skills </w:t>
      </w:r>
      <w:r w:rsidR="00256685" w:rsidRPr="00572ECC">
        <w:t xml:space="preserve">and 1-2 technical skills </w:t>
      </w:r>
      <w:r w:rsidRPr="00572ECC">
        <w:t>you</w:t>
      </w:r>
      <w:r w:rsidR="002D661A" w:rsidRPr="00572ECC">
        <w:t xml:space="preserve"> have developed throughout your degree and comment on how each of these skills will be useful to you in the workplace. </w:t>
      </w:r>
    </w:p>
    <w:p w14:paraId="39059766" w14:textId="048F0344" w:rsidR="00510825" w:rsidRPr="00572ECC" w:rsidRDefault="00510825" w:rsidP="00572ECC">
      <w:pPr>
        <w:pStyle w:val="ListParagraph"/>
        <w:numPr>
          <w:ilvl w:val="0"/>
          <w:numId w:val="23"/>
        </w:numPr>
      </w:pPr>
      <w:r w:rsidRPr="00572ECC">
        <w:t>Your reflection should f</w:t>
      </w:r>
      <w:r w:rsidR="00A6715F" w:rsidRPr="00572ECC">
        <w:t xml:space="preserve">ocus on the way your approach / knowledge / skill level has changed in these areas </w:t>
      </w:r>
      <w:proofErr w:type="gramStart"/>
      <w:r w:rsidR="00383959" w:rsidRPr="00572ECC">
        <w:t>during</w:t>
      </w:r>
      <w:r w:rsidR="00A6715F" w:rsidRPr="00572ECC">
        <w:t xml:space="preserve"> the course of</w:t>
      </w:r>
      <w:proofErr w:type="gramEnd"/>
      <w:r w:rsidR="00A6715F" w:rsidRPr="00572ECC">
        <w:t xml:space="preserve"> your degree, using </w:t>
      </w:r>
      <w:r w:rsidRPr="00572ECC">
        <w:t xml:space="preserve">specific </w:t>
      </w:r>
      <w:r w:rsidR="00A6715F" w:rsidRPr="00572ECC">
        <w:t xml:space="preserve">evidence </w:t>
      </w:r>
      <w:r w:rsidRPr="00572ECC">
        <w:t xml:space="preserve">for each skill to </w:t>
      </w:r>
      <w:r w:rsidR="00A6715F" w:rsidRPr="00572ECC">
        <w:t>justify your</w:t>
      </w:r>
      <w:r w:rsidRPr="00572ECC">
        <w:t xml:space="preserve"> </w:t>
      </w:r>
      <w:r w:rsidR="00A6715F" w:rsidRPr="00572ECC">
        <w:t xml:space="preserve">claims.  </w:t>
      </w:r>
    </w:p>
    <w:p w14:paraId="2FEA9085" w14:textId="4104DD9C" w:rsidR="00510825" w:rsidRPr="00572ECC" w:rsidRDefault="00347720" w:rsidP="00572ECC">
      <w:pPr>
        <w:pStyle w:val="ListParagraph"/>
        <w:numPr>
          <w:ilvl w:val="0"/>
          <w:numId w:val="23"/>
        </w:numPr>
      </w:pPr>
      <w:r w:rsidRPr="00572ECC">
        <w:t>Cite any other areas of your life where these skills may have been developed or augmented</w:t>
      </w:r>
      <w:r w:rsidR="00A265D1" w:rsidRPr="00572ECC">
        <w:t>.</w:t>
      </w:r>
    </w:p>
    <w:p w14:paraId="572DECD2" w14:textId="72B670DA" w:rsidR="0050070A" w:rsidRPr="00572ECC" w:rsidRDefault="0050070A" w:rsidP="00572ECC">
      <w:pPr>
        <w:pStyle w:val="ListParagraph"/>
        <w:numPr>
          <w:ilvl w:val="0"/>
          <w:numId w:val="23"/>
        </w:numPr>
      </w:pPr>
      <w:r w:rsidRPr="00572ECC">
        <w:t xml:space="preserve">Link </w:t>
      </w:r>
      <w:r w:rsidR="00D27524" w:rsidRPr="00572ECC">
        <w:t>your reflection to your ongoing professional development and career goals</w:t>
      </w:r>
      <w:r w:rsidR="008E4FAC" w:rsidRPr="00572ECC">
        <w:t xml:space="preserve"> identifying, for example, where there may be opportunities to further strengthen these skills</w:t>
      </w:r>
      <w:r w:rsidR="00A265D1" w:rsidRPr="00572ECC">
        <w:t>.</w:t>
      </w:r>
    </w:p>
    <w:p w14:paraId="79C6033E" w14:textId="12FEFDC6" w:rsidR="00073DC4" w:rsidRPr="00572ECC" w:rsidRDefault="00A6715F" w:rsidP="00572ECC">
      <w:pPr>
        <w:pStyle w:val="ListParagraph"/>
        <w:numPr>
          <w:ilvl w:val="0"/>
          <w:numId w:val="23"/>
        </w:numPr>
      </w:pPr>
      <w:r w:rsidRPr="00572ECC">
        <w:t>Cite your references to justify your choices.</w:t>
      </w:r>
      <w:r w:rsidR="00347720" w:rsidRPr="00572ECC">
        <w:t xml:space="preserve"> </w:t>
      </w:r>
    </w:p>
    <w:p w14:paraId="31890AE4" w14:textId="77777777" w:rsidR="00A535BE" w:rsidRDefault="00A535BE" w:rsidP="00572ECC">
      <w:pPr>
        <w:pStyle w:val="Heading2"/>
      </w:pPr>
      <w:r w:rsidRPr="005B0DC3">
        <w:t>Resources that might get consulted</w:t>
      </w:r>
    </w:p>
    <w:p w14:paraId="4B0C8CF8" w14:textId="530A3F77" w:rsidR="00073DC4" w:rsidRPr="00572ECC" w:rsidRDefault="00073DC4" w:rsidP="00572ECC">
      <w:pPr>
        <w:pStyle w:val="ListParagraph"/>
        <w:numPr>
          <w:ilvl w:val="0"/>
          <w:numId w:val="24"/>
        </w:numPr>
      </w:pPr>
      <w:r w:rsidRPr="00572ECC">
        <w:t>The position descriptions of relevant graduate roles that you might apply for after completing your studies</w:t>
      </w:r>
    </w:p>
    <w:p w14:paraId="493DB4A8" w14:textId="3C77628D" w:rsidR="008E6E7B" w:rsidRPr="00572ECC" w:rsidRDefault="008E6E7B" w:rsidP="00572ECC">
      <w:pPr>
        <w:pStyle w:val="ListParagraph"/>
        <w:numPr>
          <w:ilvl w:val="0"/>
          <w:numId w:val="24"/>
        </w:numPr>
      </w:pPr>
      <w:r w:rsidRPr="00572ECC">
        <w:t>Australian Association of Graduate Employers Employer Survey 2020 (see snapshot below)</w:t>
      </w:r>
    </w:p>
    <w:p w14:paraId="5EDEDF01" w14:textId="49A10639" w:rsidR="00AF0AAF" w:rsidRPr="00572ECC" w:rsidRDefault="00572ECC" w:rsidP="00572ECC">
      <w:pPr>
        <w:pStyle w:val="ListParagraph"/>
        <w:numPr>
          <w:ilvl w:val="0"/>
          <w:numId w:val="24"/>
        </w:numPr>
      </w:pPr>
      <w:hyperlink r:id="rId15" w:history="1">
        <w:r w:rsidR="00F33F10" w:rsidRPr="00572ECC">
          <w:rPr>
            <w:rStyle w:val="Hyperlink"/>
          </w:rPr>
          <w:t>AIMS Employability Skills Checklist</w:t>
        </w:r>
      </w:hyperlink>
      <w:r w:rsidR="00F33F10" w:rsidRPr="00572ECC">
        <w:t xml:space="preserve"> in </w:t>
      </w:r>
      <w:hyperlink r:id="rId16" w:history="1">
        <w:r w:rsidR="00675E95" w:rsidRPr="00572ECC">
          <w:rPr>
            <w:rStyle w:val="Hyperlink"/>
          </w:rPr>
          <w:t xml:space="preserve">AIMS </w:t>
        </w:r>
        <w:r w:rsidR="00F33F10" w:rsidRPr="00572ECC">
          <w:rPr>
            <w:rStyle w:val="Hyperlink"/>
          </w:rPr>
          <w:t xml:space="preserve">(2014-15) </w:t>
        </w:r>
        <w:r w:rsidR="00675E95" w:rsidRPr="00572ECC">
          <w:rPr>
            <w:rStyle w:val="Hyperlink"/>
          </w:rPr>
          <w:t>Career Planning Guide: Employability and Innovation Skills</w:t>
        </w:r>
      </w:hyperlink>
    </w:p>
    <w:p w14:paraId="43F1E2D3" w14:textId="500FD257" w:rsidR="009560FF" w:rsidRPr="00572ECC" w:rsidRDefault="00A85A95" w:rsidP="00572ECC">
      <w:pPr>
        <w:pStyle w:val="ListParagraph"/>
        <w:numPr>
          <w:ilvl w:val="0"/>
          <w:numId w:val="24"/>
        </w:numPr>
      </w:pPr>
      <w:r w:rsidRPr="00572ECC">
        <w:t xml:space="preserve">Foundation for Young Australians 2017 </w:t>
      </w:r>
      <w:hyperlink r:id="rId17" w:history="1">
        <w:r w:rsidR="00AA3126" w:rsidRPr="00572ECC">
          <w:rPr>
            <w:rStyle w:val="Hyperlink"/>
          </w:rPr>
          <w:t>The New Basics: big data reveals the skills young people need for the New World Order</w:t>
        </w:r>
      </w:hyperlink>
      <w:r w:rsidR="00AA3126" w:rsidRPr="00572ECC">
        <w:t xml:space="preserve"> </w:t>
      </w:r>
    </w:p>
    <w:p w14:paraId="1DC07BD0" w14:textId="044F5BFF" w:rsidR="009560FF" w:rsidRPr="00572ECC" w:rsidRDefault="00A85A95" w:rsidP="00572ECC">
      <w:pPr>
        <w:pStyle w:val="ListParagraph"/>
        <w:numPr>
          <w:ilvl w:val="0"/>
          <w:numId w:val="24"/>
        </w:numPr>
        <w:rPr>
          <w:highlight w:val="yellow"/>
        </w:rPr>
      </w:pPr>
      <w:r w:rsidRPr="00572ECC">
        <w:rPr>
          <w:highlight w:val="yellow"/>
        </w:rPr>
        <w:t>Any s</w:t>
      </w:r>
      <w:r w:rsidR="009560FF" w:rsidRPr="00572ECC">
        <w:rPr>
          <w:highlight w:val="yellow"/>
        </w:rPr>
        <w:t>ector-specific resources supplied by Topic Coordinator</w:t>
      </w:r>
    </w:p>
    <w:p w14:paraId="35B98357" w14:textId="77777777" w:rsidR="006C604E" w:rsidRPr="00572ECC" w:rsidRDefault="006C604E" w:rsidP="00572ECC"/>
    <w:p w14:paraId="050C6213" w14:textId="77777777" w:rsidR="00B769B9" w:rsidRPr="00572ECC" w:rsidRDefault="00B769B9" w:rsidP="00572ECC"/>
    <w:p w14:paraId="60604B67" w14:textId="1ACEA7E9" w:rsidR="00E73A58" w:rsidRPr="00572ECC" w:rsidRDefault="00E73A58" w:rsidP="00572ECC">
      <w:r w:rsidRPr="00572ECC">
        <w:drawing>
          <wp:inline distT="0" distB="0" distL="0" distR="0" wp14:anchorId="29FFDD74" wp14:editId="0B02F29F">
            <wp:extent cx="5731510" cy="3218180"/>
            <wp:effectExtent l="0" t="0" r="2540" b="1270"/>
            <wp:docPr id="465506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3218180"/>
                    </a:xfrm>
                    <a:prstGeom prst="rect">
                      <a:avLst/>
                    </a:prstGeom>
                  </pic:spPr>
                </pic:pic>
              </a:graphicData>
            </a:graphic>
          </wp:inline>
        </w:drawing>
      </w:r>
    </w:p>
    <w:p w14:paraId="596A491A" w14:textId="77777777" w:rsidR="00231AAB" w:rsidRPr="006451D6" w:rsidRDefault="00231AAB" w:rsidP="00422226">
      <w:pPr>
        <w:rPr>
          <w:rFonts w:cstheme="minorHAnsi"/>
          <w:szCs w:val="20"/>
        </w:rPr>
      </w:pPr>
    </w:p>
    <w:sectPr w:rsidR="00231AAB" w:rsidRPr="006451D6" w:rsidSect="00230B1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36E7" w14:textId="77777777" w:rsidR="00C024C7" w:rsidRDefault="00C024C7" w:rsidP="003C5D77">
      <w:r>
        <w:separator/>
      </w:r>
    </w:p>
  </w:endnote>
  <w:endnote w:type="continuationSeparator" w:id="0">
    <w:p w14:paraId="074C6A51" w14:textId="77777777" w:rsidR="00C024C7" w:rsidRDefault="00C024C7" w:rsidP="003C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EC80" w14:textId="77777777" w:rsidR="00EC47C0" w:rsidRDefault="00EC4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4758" w14:textId="77777777" w:rsidR="003D2E2D" w:rsidRPr="003C5D77" w:rsidRDefault="003D2E2D" w:rsidP="003D2E2D">
    <w:pPr>
      <w:pStyle w:val="Footer"/>
      <w:jc w:val="center"/>
      <w:rPr>
        <w:sz w:val="16"/>
        <w:szCs w:val="16"/>
      </w:rPr>
    </w:pPr>
    <w:r>
      <w:rPr>
        <w:color w:val="000000"/>
        <w:sz w:val="16"/>
        <w:szCs w:val="16"/>
        <w:shd w:val="clear" w:color="auto" w:fill="FFFFFF"/>
      </w:rPr>
      <w:t xml:space="preserve">Adapted from IRU </w:t>
    </w:r>
    <w:r w:rsidRPr="003C5D77">
      <w:rPr>
        <w:color w:val="000000"/>
        <w:sz w:val="16"/>
        <w:szCs w:val="16"/>
        <w:shd w:val="clear" w:color="auto" w:fill="FFFFFF"/>
      </w:rPr>
      <w:t xml:space="preserve">Employability Assessment Toolkit </w:t>
    </w:r>
  </w:p>
  <w:p w14:paraId="284C2D88" w14:textId="2DB5AA62" w:rsidR="00EC47C0" w:rsidRPr="00B20C1C" w:rsidRDefault="00EC47C0" w:rsidP="00EC47C0">
    <w:pPr>
      <w:pStyle w:val="Footer"/>
      <w:jc w:val="center"/>
      <w:rPr>
        <w:rFonts w:cstheme="minorHAnsi"/>
      </w:rPr>
    </w:pPr>
    <w:r w:rsidRPr="00B20C1C">
      <w:rPr>
        <w:rFonts w:cstheme="minorHAnsi"/>
      </w:rPr>
      <w:t xml:space="preserve">Last updated: </w:t>
    </w:r>
    <w:r>
      <w:rPr>
        <w:rFonts w:cstheme="minorHAnsi"/>
      </w:rPr>
      <w:fldChar w:fldCharType="begin"/>
    </w:r>
    <w:r>
      <w:rPr>
        <w:rFonts w:cstheme="minorHAnsi"/>
      </w:rPr>
      <w:instrText xml:space="preserve"> DATE \@ "d MMMM yyyy" </w:instrText>
    </w:r>
    <w:r>
      <w:rPr>
        <w:rFonts w:cstheme="minorHAnsi"/>
      </w:rPr>
      <w:fldChar w:fldCharType="separate"/>
    </w:r>
    <w:r w:rsidR="00572ECC">
      <w:rPr>
        <w:rFonts w:cstheme="minorHAnsi"/>
        <w:noProof/>
      </w:rPr>
      <w:t>18 October 2021</w:t>
    </w:r>
    <w:r>
      <w:rPr>
        <w:rFonts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FFA4" w14:textId="77777777" w:rsidR="00EC47C0" w:rsidRDefault="00EC4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AA7CC" w14:textId="77777777" w:rsidR="00C024C7" w:rsidRDefault="00C024C7" w:rsidP="003C5D77">
      <w:r>
        <w:separator/>
      </w:r>
    </w:p>
  </w:footnote>
  <w:footnote w:type="continuationSeparator" w:id="0">
    <w:p w14:paraId="73544113" w14:textId="77777777" w:rsidR="00C024C7" w:rsidRDefault="00C024C7" w:rsidP="003C5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1406" w14:textId="77777777" w:rsidR="00EC47C0" w:rsidRDefault="00EC4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E474" w14:textId="77777777" w:rsidR="00EC47C0" w:rsidRDefault="00EC47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157C" w14:textId="77777777" w:rsidR="00EC47C0" w:rsidRDefault="00EC4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3C7C"/>
    <w:multiLevelType w:val="hybridMultilevel"/>
    <w:tmpl w:val="ED7A0C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F16127"/>
    <w:multiLevelType w:val="hybridMultilevel"/>
    <w:tmpl w:val="38F21A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8A6447E"/>
    <w:multiLevelType w:val="hybridMultilevel"/>
    <w:tmpl w:val="CFBE50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9C7C3B"/>
    <w:multiLevelType w:val="hybridMultilevel"/>
    <w:tmpl w:val="68DE8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25409C"/>
    <w:multiLevelType w:val="hybridMultilevel"/>
    <w:tmpl w:val="B260BD2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AE40E0"/>
    <w:multiLevelType w:val="hybridMultilevel"/>
    <w:tmpl w:val="1E1ECED2"/>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46D63A98"/>
    <w:multiLevelType w:val="hybridMultilevel"/>
    <w:tmpl w:val="4454BA7A"/>
    <w:lvl w:ilvl="0" w:tplc="4DAADD96">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3147A0"/>
    <w:multiLevelType w:val="multilevel"/>
    <w:tmpl w:val="EE84D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3C499E"/>
    <w:multiLevelType w:val="hybridMultilevel"/>
    <w:tmpl w:val="05DC2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0F23594"/>
    <w:multiLevelType w:val="hybridMultilevel"/>
    <w:tmpl w:val="3F4A63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2311A44"/>
    <w:multiLevelType w:val="hybridMultilevel"/>
    <w:tmpl w:val="8B747E4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76A15587"/>
    <w:multiLevelType w:val="hybridMultilevel"/>
    <w:tmpl w:val="FFFFFFFF"/>
    <w:lvl w:ilvl="0" w:tplc="E7CE7DE4">
      <w:start w:val="1"/>
      <w:numFmt w:val="bullet"/>
      <w:lvlText w:val=""/>
      <w:lvlJc w:val="left"/>
      <w:pPr>
        <w:ind w:left="720" w:hanging="360"/>
      </w:pPr>
      <w:rPr>
        <w:rFonts w:ascii="Symbol" w:hAnsi="Symbol" w:hint="default"/>
      </w:rPr>
    </w:lvl>
    <w:lvl w:ilvl="1" w:tplc="26C82EDE">
      <w:start w:val="1"/>
      <w:numFmt w:val="bullet"/>
      <w:lvlText w:val="o"/>
      <w:lvlJc w:val="left"/>
      <w:pPr>
        <w:ind w:left="1440" w:hanging="360"/>
      </w:pPr>
      <w:rPr>
        <w:rFonts w:ascii="Courier New" w:hAnsi="Courier New" w:hint="default"/>
      </w:rPr>
    </w:lvl>
    <w:lvl w:ilvl="2" w:tplc="59801C58">
      <w:start w:val="1"/>
      <w:numFmt w:val="bullet"/>
      <w:lvlText w:val=""/>
      <w:lvlJc w:val="left"/>
      <w:pPr>
        <w:ind w:left="2160" w:hanging="360"/>
      </w:pPr>
      <w:rPr>
        <w:rFonts w:ascii="Wingdings" w:hAnsi="Wingdings" w:hint="default"/>
      </w:rPr>
    </w:lvl>
    <w:lvl w:ilvl="3" w:tplc="D346B3FE">
      <w:start w:val="1"/>
      <w:numFmt w:val="bullet"/>
      <w:lvlText w:val=""/>
      <w:lvlJc w:val="left"/>
      <w:pPr>
        <w:ind w:left="2880" w:hanging="360"/>
      </w:pPr>
      <w:rPr>
        <w:rFonts w:ascii="Symbol" w:hAnsi="Symbol" w:hint="default"/>
      </w:rPr>
    </w:lvl>
    <w:lvl w:ilvl="4" w:tplc="BC1AD0FE">
      <w:start w:val="1"/>
      <w:numFmt w:val="bullet"/>
      <w:lvlText w:val="o"/>
      <w:lvlJc w:val="left"/>
      <w:pPr>
        <w:ind w:left="3600" w:hanging="360"/>
      </w:pPr>
      <w:rPr>
        <w:rFonts w:ascii="Courier New" w:hAnsi="Courier New" w:hint="default"/>
      </w:rPr>
    </w:lvl>
    <w:lvl w:ilvl="5" w:tplc="4650D7B2">
      <w:start w:val="1"/>
      <w:numFmt w:val="bullet"/>
      <w:lvlText w:val=""/>
      <w:lvlJc w:val="left"/>
      <w:pPr>
        <w:ind w:left="4320" w:hanging="360"/>
      </w:pPr>
      <w:rPr>
        <w:rFonts w:ascii="Wingdings" w:hAnsi="Wingdings" w:hint="default"/>
      </w:rPr>
    </w:lvl>
    <w:lvl w:ilvl="6" w:tplc="89C84B46">
      <w:start w:val="1"/>
      <w:numFmt w:val="bullet"/>
      <w:lvlText w:val=""/>
      <w:lvlJc w:val="left"/>
      <w:pPr>
        <w:ind w:left="5040" w:hanging="360"/>
      </w:pPr>
      <w:rPr>
        <w:rFonts w:ascii="Symbol" w:hAnsi="Symbol" w:hint="default"/>
      </w:rPr>
    </w:lvl>
    <w:lvl w:ilvl="7" w:tplc="210C3674">
      <w:start w:val="1"/>
      <w:numFmt w:val="bullet"/>
      <w:lvlText w:val="o"/>
      <w:lvlJc w:val="left"/>
      <w:pPr>
        <w:ind w:left="5760" w:hanging="360"/>
      </w:pPr>
      <w:rPr>
        <w:rFonts w:ascii="Courier New" w:hAnsi="Courier New" w:hint="default"/>
      </w:rPr>
    </w:lvl>
    <w:lvl w:ilvl="8" w:tplc="905A4088">
      <w:start w:val="1"/>
      <w:numFmt w:val="bullet"/>
      <w:lvlText w:val=""/>
      <w:lvlJc w:val="left"/>
      <w:pPr>
        <w:ind w:left="6480" w:hanging="360"/>
      </w:pPr>
      <w:rPr>
        <w:rFonts w:ascii="Wingdings" w:hAnsi="Wingdings" w:hint="default"/>
      </w:rPr>
    </w:lvl>
  </w:abstractNum>
  <w:abstractNum w:abstractNumId="21"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CEB1C35"/>
    <w:multiLevelType w:val="hybridMultilevel"/>
    <w:tmpl w:val="BBC4C5D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6"/>
  </w:num>
  <w:num w:numId="8">
    <w:abstractNumId w:val="7"/>
  </w:num>
  <w:num w:numId="9">
    <w:abstractNumId w:val="2"/>
  </w:num>
  <w:num w:numId="10">
    <w:abstractNumId w:val="8"/>
  </w:num>
  <w:num w:numId="11">
    <w:abstractNumId w:val="13"/>
  </w:num>
  <w:num w:numId="12">
    <w:abstractNumId w:val="9"/>
  </w:num>
  <w:num w:numId="13">
    <w:abstractNumId w:val="3"/>
  </w:num>
  <w:num w:numId="14">
    <w:abstractNumId w:val="14"/>
  </w:num>
  <w:num w:numId="15">
    <w:abstractNumId w:val="6"/>
  </w:num>
  <w:num w:numId="16">
    <w:abstractNumId w:val="11"/>
  </w:num>
  <w:num w:numId="17">
    <w:abstractNumId w:val="10"/>
  </w:num>
  <w:num w:numId="18">
    <w:abstractNumId w:val="5"/>
  </w:num>
  <w:num w:numId="19">
    <w:abstractNumId w:val="0"/>
  </w:num>
  <w:num w:numId="20">
    <w:abstractNumId w:val="18"/>
  </w:num>
  <w:num w:numId="21">
    <w:abstractNumId w:val="22"/>
  </w:num>
  <w:num w:numId="22">
    <w:abstractNumId w:val="4"/>
  </w:num>
  <w:num w:numId="23">
    <w:abstractNumId w:val="1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06233"/>
    <w:rsid w:val="00006745"/>
    <w:rsid w:val="000231EC"/>
    <w:rsid w:val="00023E47"/>
    <w:rsid w:val="00024D71"/>
    <w:rsid w:val="00062D92"/>
    <w:rsid w:val="000642D9"/>
    <w:rsid w:val="00072D96"/>
    <w:rsid w:val="00073DC4"/>
    <w:rsid w:val="00091658"/>
    <w:rsid w:val="000B1F75"/>
    <w:rsid w:val="000C735D"/>
    <w:rsid w:val="000E02D9"/>
    <w:rsid w:val="000E174E"/>
    <w:rsid w:val="000E73FE"/>
    <w:rsid w:val="000F3FD5"/>
    <w:rsid w:val="00105288"/>
    <w:rsid w:val="00111DD8"/>
    <w:rsid w:val="00117FF9"/>
    <w:rsid w:val="0018040E"/>
    <w:rsid w:val="001861DE"/>
    <w:rsid w:val="00187132"/>
    <w:rsid w:val="001A0FDE"/>
    <w:rsid w:val="001A2ED1"/>
    <w:rsid w:val="001F421E"/>
    <w:rsid w:val="00213F76"/>
    <w:rsid w:val="00220D5F"/>
    <w:rsid w:val="00230B12"/>
    <w:rsid w:val="00231AAB"/>
    <w:rsid w:val="00234838"/>
    <w:rsid w:val="00236971"/>
    <w:rsid w:val="002525BC"/>
    <w:rsid w:val="00256685"/>
    <w:rsid w:val="002652F6"/>
    <w:rsid w:val="0026564A"/>
    <w:rsid w:val="0026758C"/>
    <w:rsid w:val="00273E0D"/>
    <w:rsid w:val="002837D9"/>
    <w:rsid w:val="002846D7"/>
    <w:rsid w:val="002936FC"/>
    <w:rsid w:val="002A3D3A"/>
    <w:rsid w:val="002D17DA"/>
    <w:rsid w:val="002D661A"/>
    <w:rsid w:val="002E79A3"/>
    <w:rsid w:val="00305A6D"/>
    <w:rsid w:val="00347720"/>
    <w:rsid w:val="0037185B"/>
    <w:rsid w:val="00383959"/>
    <w:rsid w:val="00385A04"/>
    <w:rsid w:val="003872B9"/>
    <w:rsid w:val="003C2E88"/>
    <w:rsid w:val="003C5D77"/>
    <w:rsid w:val="003D2E2D"/>
    <w:rsid w:val="003E1DFF"/>
    <w:rsid w:val="00400B9B"/>
    <w:rsid w:val="0041040D"/>
    <w:rsid w:val="004165E3"/>
    <w:rsid w:val="00422226"/>
    <w:rsid w:val="0042785E"/>
    <w:rsid w:val="004532F9"/>
    <w:rsid w:val="004721F3"/>
    <w:rsid w:val="00476195"/>
    <w:rsid w:val="00490633"/>
    <w:rsid w:val="004926B0"/>
    <w:rsid w:val="004B324F"/>
    <w:rsid w:val="004C2E2B"/>
    <w:rsid w:val="004E0310"/>
    <w:rsid w:val="0050070A"/>
    <w:rsid w:val="00510825"/>
    <w:rsid w:val="005213C3"/>
    <w:rsid w:val="0054595B"/>
    <w:rsid w:val="00554166"/>
    <w:rsid w:val="00554C1C"/>
    <w:rsid w:val="00572ECC"/>
    <w:rsid w:val="00573502"/>
    <w:rsid w:val="00580E3B"/>
    <w:rsid w:val="0058580A"/>
    <w:rsid w:val="005B0DC3"/>
    <w:rsid w:val="005B4554"/>
    <w:rsid w:val="005C083E"/>
    <w:rsid w:val="005C0A66"/>
    <w:rsid w:val="005C2F3A"/>
    <w:rsid w:val="00625B8D"/>
    <w:rsid w:val="006451D6"/>
    <w:rsid w:val="00656642"/>
    <w:rsid w:val="00660016"/>
    <w:rsid w:val="00673909"/>
    <w:rsid w:val="00675E95"/>
    <w:rsid w:val="006930E9"/>
    <w:rsid w:val="006B7FF2"/>
    <w:rsid w:val="006C3D32"/>
    <w:rsid w:val="006C604E"/>
    <w:rsid w:val="006F71C9"/>
    <w:rsid w:val="00714014"/>
    <w:rsid w:val="00734D93"/>
    <w:rsid w:val="007951E5"/>
    <w:rsid w:val="007A2B92"/>
    <w:rsid w:val="007A5EFC"/>
    <w:rsid w:val="00814427"/>
    <w:rsid w:val="00826A96"/>
    <w:rsid w:val="00836262"/>
    <w:rsid w:val="00843A58"/>
    <w:rsid w:val="008528B1"/>
    <w:rsid w:val="00852DBF"/>
    <w:rsid w:val="0087394E"/>
    <w:rsid w:val="00873B6E"/>
    <w:rsid w:val="0088786C"/>
    <w:rsid w:val="008B222E"/>
    <w:rsid w:val="008B3447"/>
    <w:rsid w:val="008B44E4"/>
    <w:rsid w:val="008C1D1A"/>
    <w:rsid w:val="008D6C4C"/>
    <w:rsid w:val="008E271D"/>
    <w:rsid w:val="008E4FAC"/>
    <w:rsid w:val="008E6E7B"/>
    <w:rsid w:val="00933E69"/>
    <w:rsid w:val="009437A7"/>
    <w:rsid w:val="009454A7"/>
    <w:rsid w:val="00953F5D"/>
    <w:rsid w:val="009560FF"/>
    <w:rsid w:val="00972641"/>
    <w:rsid w:val="00975170"/>
    <w:rsid w:val="009934E3"/>
    <w:rsid w:val="009A7265"/>
    <w:rsid w:val="009F2977"/>
    <w:rsid w:val="00A265D1"/>
    <w:rsid w:val="00A35446"/>
    <w:rsid w:val="00A37EF4"/>
    <w:rsid w:val="00A535BE"/>
    <w:rsid w:val="00A550EE"/>
    <w:rsid w:val="00A62826"/>
    <w:rsid w:val="00A6715F"/>
    <w:rsid w:val="00A85A95"/>
    <w:rsid w:val="00AA3126"/>
    <w:rsid w:val="00AA70CA"/>
    <w:rsid w:val="00AD5B81"/>
    <w:rsid w:val="00AF014C"/>
    <w:rsid w:val="00AF0AAF"/>
    <w:rsid w:val="00B01345"/>
    <w:rsid w:val="00B04ACC"/>
    <w:rsid w:val="00B059BD"/>
    <w:rsid w:val="00B10087"/>
    <w:rsid w:val="00B121F6"/>
    <w:rsid w:val="00B273EF"/>
    <w:rsid w:val="00B5110E"/>
    <w:rsid w:val="00B769B9"/>
    <w:rsid w:val="00B95892"/>
    <w:rsid w:val="00BC1E40"/>
    <w:rsid w:val="00BC221E"/>
    <w:rsid w:val="00BC48E0"/>
    <w:rsid w:val="00BE68F6"/>
    <w:rsid w:val="00BF6137"/>
    <w:rsid w:val="00C024C7"/>
    <w:rsid w:val="00C751AC"/>
    <w:rsid w:val="00C86227"/>
    <w:rsid w:val="00C90FD1"/>
    <w:rsid w:val="00CB4DFC"/>
    <w:rsid w:val="00CE3845"/>
    <w:rsid w:val="00D0191E"/>
    <w:rsid w:val="00D121B0"/>
    <w:rsid w:val="00D25236"/>
    <w:rsid w:val="00D27524"/>
    <w:rsid w:val="00D77296"/>
    <w:rsid w:val="00D8227C"/>
    <w:rsid w:val="00D82308"/>
    <w:rsid w:val="00D843C1"/>
    <w:rsid w:val="00D87F54"/>
    <w:rsid w:val="00DA55A7"/>
    <w:rsid w:val="00DC448E"/>
    <w:rsid w:val="00DC68D0"/>
    <w:rsid w:val="00E0384C"/>
    <w:rsid w:val="00E06576"/>
    <w:rsid w:val="00E06A30"/>
    <w:rsid w:val="00E10568"/>
    <w:rsid w:val="00E23E55"/>
    <w:rsid w:val="00E40DD3"/>
    <w:rsid w:val="00E41E82"/>
    <w:rsid w:val="00E47D67"/>
    <w:rsid w:val="00E73A58"/>
    <w:rsid w:val="00E75558"/>
    <w:rsid w:val="00EB7F74"/>
    <w:rsid w:val="00EC0206"/>
    <w:rsid w:val="00EC47C0"/>
    <w:rsid w:val="00F158CC"/>
    <w:rsid w:val="00F33F10"/>
    <w:rsid w:val="00F342F9"/>
    <w:rsid w:val="00F74FF4"/>
    <w:rsid w:val="00F90CE2"/>
    <w:rsid w:val="00FC127C"/>
    <w:rsid w:val="00FE02DF"/>
    <w:rsid w:val="00FE366D"/>
    <w:rsid w:val="112A1795"/>
    <w:rsid w:val="11483725"/>
    <w:rsid w:val="261C4A74"/>
    <w:rsid w:val="2A6EBA2C"/>
    <w:rsid w:val="2DE911E1"/>
    <w:rsid w:val="3D2DE9F8"/>
    <w:rsid w:val="49AC6367"/>
    <w:rsid w:val="5362B196"/>
    <w:rsid w:val="59C24F61"/>
    <w:rsid w:val="5E9FF590"/>
    <w:rsid w:val="5FE5EAD6"/>
    <w:rsid w:val="638A9EDF"/>
    <w:rsid w:val="63EECED3"/>
    <w:rsid w:val="771ECE6B"/>
    <w:rsid w:val="7DFFA0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CA7"/>
  <w15:docId w15:val="{85BC777E-72C7-4091-AC4B-46662358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ECC"/>
    <w:pPr>
      <w:spacing w:after="0" w:line="240" w:lineRule="auto"/>
    </w:pPr>
    <w:rPr>
      <w:rFonts w:asciiTheme="minorHAnsi" w:hAnsiTheme="minorHAnsi"/>
      <w:sz w:val="22"/>
    </w:rPr>
  </w:style>
  <w:style w:type="paragraph" w:styleId="Heading1">
    <w:name w:val="heading 1"/>
    <w:basedOn w:val="Normal"/>
    <w:next w:val="Normal"/>
    <w:link w:val="Heading1Char"/>
    <w:autoRedefine/>
    <w:uiPriority w:val="9"/>
    <w:qFormat/>
    <w:rsid w:val="00572ECC"/>
    <w:pPr>
      <w:keepNext/>
      <w:keepLines/>
      <w:spacing w:after="240"/>
      <w:outlineLvl w:val="0"/>
    </w:pPr>
    <w:rPr>
      <w:rFonts w:eastAsiaTheme="majorEastAsia" w:cstheme="majorBidi"/>
      <w:b/>
      <w:bCs/>
      <w:sz w:val="28"/>
      <w:szCs w:val="28"/>
      <w:shd w:val="clear" w:color="auto" w:fill="FFFFFF"/>
    </w:rPr>
  </w:style>
  <w:style w:type="paragraph" w:styleId="Heading2">
    <w:name w:val="heading 2"/>
    <w:basedOn w:val="Heading1"/>
    <w:next w:val="Normal"/>
    <w:link w:val="Heading2Char"/>
    <w:uiPriority w:val="9"/>
    <w:unhideWhenUsed/>
    <w:qFormat/>
    <w:rsid w:val="00572ECC"/>
    <w:pPr>
      <w:spacing w:before="240"/>
      <w:outlineLvl w:val="1"/>
    </w:pPr>
    <w:rPr>
      <w:rFonts w:cstheme="minorHAnsi"/>
      <w:sz w:val="24"/>
      <w:szCs w:val="22"/>
    </w:rPr>
  </w:style>
  <w:style w:type="paragraph" w:styleId="Heading3">
    <w:name w:val="heading 3"/>
    <w:basedOn w:val="Normal"/>
    <w:next w:val="Normal"/>
    <w:link w:val="Heading3Char"/>
    <w:uiPriority w:val="9"/>
    <w:unhideWhenUsed/>
    <w:qFormat/>
    <w:rsid w:val="007A5EF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E40"/>
    <w:pPr>
      <w:ind w:left="720"/>
      <w:contextualSpacing/>
    </w:pPr>
    <w:rPr>
      <w:rFonts w:eastAsiaTheme="minorEastAsia"/>
    </w:rPr>
  </w:style>
  <w:style w:type="table" w:styleId="TableGrid">
    <w:name w:val="Table Grid"/>
    <w:basedOn w:val="TableNormal"/>
    <w:uiPriority w:val="59"/>
    <w:rsid w:val="00BC1E40"/>
    <w:pPr>
      <w:spacing w:after="0" w:line="240" w:lineRule="auto"/>
    </w:pPr>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572ECC"/>
    <w:rPr>
      <w:rFonts w:asciiTheme="minorHAnsi" w:eastAsiaTheme="majorEastAsia" w:hAnsiTheme="minorHAnsi" w:cstheme="majorBidi"/>
      <w:b/>
      <w:bCs/>
      <w:sz w:val="28"/>
      <w:szCs w:val="28"/>
    </w:rPr>
  </w:style>
  <w:style w:type="character" w:styleId="Hyperlink">
    <w:name w:val="Hyperlink"/>
    <w:basedOn w:val="DefaultParagraphFont"/>
    <w:uiPriority w:val="99"/>
    <w:unhideWhenUsed/>
    <w:rsid w:val="00A6715F"/>
    <w:rPr>
      <w:color w:val="0563C1" w:themeColor="hyperlink"/>
      <w:u w:val="single"/>
    </w:rPr>
  </w:style>
  <w:style w:type="paragraph" w:styleId="NormalWeb">
    <w:name w:val="Normal (Web)"/>
    <w:basedOn w:val="Normal"/>
    <w:uiPriority w:val="99"/>
    <w:unhideWhenUsed/>
    <w:rsid w:val="00A6715F"/>
    <w:pPr>
      <w:spacing w:before="100" w:beforeAutospacing="1" w:after="100" w:afterAutospacing="1"/>
    </w:pPr>
    <w:rPr>
      <w:rFonts w:ascii="Times New Roman" w:eastAsia="Times New Roman" w:hAnsi="Times New Roman" w:cs="Times New Roman"/>
      <w:sz w:val="24"/>
      <w:lang w:eastAsia="en-AU"/>
    </w:rPr>
  </w:style>
  <w:style w:type="character" w:customStyle="1" w:styleId="a">
    <w:name w:val="a"/>
    <w:basedOn w:val="DefaultParagraphFont"/>
    <w:rsid w:val="00A6715F"/>
  </w:style>
  <w:style w:type="character" w:styleId="UnresolvedMention">
    <w:name w:val="Unresolved Mention"/>
    <w:basedOn w:val="DefaultParagraphFont"/>
    <w:uiPriority w:val="99"/>
    <w:semiHidden/>
    <w:unhideWhenUsed/>
    <w:rsid w:val="004B324F"/>
    <w:rPr>
      <w:color w:val="605E5C"/>
      <w:shd w:val="clear" w:color="auto" w:fill="E1DFDD"/>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Roboto" w:hAnsi="Roboto"/>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9560FF"/>
    <w:rPr>
      <w:color w:val="954F72" w:themeColor="followedHyperlink"/>
      <w:u w:val="single"/>
    </w:rPr>
  </w:style>
  <w:style w:type="character" w:customStyle="1" w:styleId="Heading2Char">
    <w:name w:val="Heading 2 Char"/>
    <w:basedOn w:val="DefaultParagraphFont"/>
    <w:link w:val="Heading2"/>
    <w:uiPriority w:val="9"/>
    <w:rsid w:val="00572ECC"/>
    <w:rPr>
      <w:rFonts w:asciiTheme="minorHAnsi" w:eastAsiaTheme="majorEastAsia" w:hAnsiTheme="minorHAnsi" w:cstheme="minorHAnsi"/>
      <w:b/>
      <w:bCs/>
      <w:szCs w:val="22"/>
    </w:rPr>
  </w:style>
  <w:style w:type="character" w:customStyle="1" w:styleId="Heading3Char">
    <w:name w:val="Heading 3 Char"/>
    <w:basedOn w:val="DefaultParagraphFont"/>
    <w:link w:val="Heading3"/>
    <w:uiPriority w:val="9"/>
    <w:rsid w:val="007A5EFC"/>
    <w:rPr>
      <w:rFonts w:asciiTheme="majorHAnsi" w:eastAsiaTheme="majorEastAsia" w:hAnsiTheme="majorHAnsi" w:cstheme="majorBidi"/>
      <w:color w:val="1F3763" w:themeColor="accent1" w:themeShade="7F"/>
      <w:szCs w:val="24"/>
    </w:rPr>
  </w:style>
  <w:style w:type="paragraph" w:customStyle="1" w:styleId="xmsonormal">
    <w:name w:val="x_msonormal"/>
    <w:basedOn w:val="Normal"/>
    <w:rsid w:val="112A1795"/>
    <w:pPr>
      <w:spacing w:beforeAutospacing="1" w:afterAutospacing="1"/>
    </w:pPr>
    <w:rPr>
      <w:rFonts w:ascii="Roboto" w:eastAsia="Times New Roman" w:hAnsi="Roboto"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39756">
      <w:bodyDiv w:val="1"/>
      <w:marLeft w:val="0"/>
      <w:marRight w:val="0"/>
      <w:marTop w:val="0"/>
      <w:marBottom w:val="0"/>
      <w:divBdr>
        <w:top w:val="none" w:sz="0" w:space="0" w:color="auto"/>
        <w:left w:val="none" w:sz="0" w:space="0" w:color="auto"/>
        <w:bottom w:val="none" w:sz="0" w:space="0" w:color="auto"/>
        <w:right w:val="none" w:sz="0" w:space="0" w:color="auto"/>
      </w:divBdr>
    </w:div>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30094410">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711541211">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106119012">
      <w:bodyDiv w:val="1"/>
      <w:marLeft w:val="0"/>
      <w:marRight w:val="0"/>
      <w:marTop w:val="0"/>
      <w:marBottom w:val="0"/>
      <w:divBdr>
        <w:top w:val="none" w:sz="0" w:space="0" w:color="auto"/>
        <w:left w:val="none" w:sz="0" w:space="0" w:color="auto"/>
        <w:bottom w:val="none" w:sz="0" w:space="0" w:color="auto"/>
        <w:right w:val="none" w:sz="0" w:space="0" w:color="auto"/>
      </w:divBdr>
    </w:div>
    <w:div w:id="1114834605">
      <w:bodyDiv w:val="1"/>
      <w:marLeft w:val="0"/>
      <w:marRight w:val="0"/>
      <w:marTop w:val="0"/>
      <w:marBottom w:val="0"/>
      <w:divBdr>
        <w:top w:val="none" w:sz="0" w:space="0" w:color="auto"/>
        <w:left w:val="none" w:sz="0" w:space="0" w:color="auto"/>
        <w:bottom w:val="none" w:sz="0" w:space="0" w:color="auto"/>
        <w:right w:val="none" w:sz="0" w:space="0" w:color="auto"/>
      </w:divBdr>
    </w:div>
    <w:div w:id="1414859478">
      <w:bodyDiv w:val="1"/>
      <w:marLeft w:val="0"/>
      <w:marRight w:val="0"/>
      <w:marTop w:val="0"/>
      <w:marBottom w:val="0"/>
      <w:divBdr>
        <w:top w:val="none" w:sz="0" w:space="0" w:color="auto"/>
        <w:left w:val="none" w:sz="0" w:space="0" w:color="auto"/>
        <w:bottom w:val="none" w:sz="0" w:space="0" w:color="auto"/>
        <w:right w:val="none" w:sz="0" w:space="0" w:color="auto"/>
      </w:divBdr>
    </w:div>
    <w:div w:id="1553808211">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1867324781">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staff.flinders.edu.au/learning-teaching/employability-toolkit" TargetMode="External" Type="http://schemas.openxmlformats.org/officeDocument/2006/relationships/hyperlink"/><Relationship Id="rId12" Target="https://staff.flinders.edu.au/learning-teaching/employability-toolkit" TargetMode="External" Type="http://schemas.openxmlformats.org/officeDocument/2006/relationships/hyperlink"/><Relationship Id="rId13" Target="https://cica.org.au/wp-content/uploads/Australian-Blueprint-for-Career-Development.pdf" TargetMode="External" Type="http://schemas.openxmlformats.org/officeDocument/2006/relationships/hyperlink"/><Relationship Id="rId14" Target="https://www.fya.org.au/wp-content/uploads/2016/04/The-New-Basics_Update_Web.pdf" TargetMode="External" Type="http://schemas.openxmlformats.org/officeDocument/2006/relationships/hyperlink"/><Relationship Id="rId15" Target="https://careerhub.flinders.edu.au/docs/274/Employability-and-Innovation-Skills-2014-06-20.pdf" TargetMode="External" Type="http://schemas.openxmlformats.org/officeDocument/2006/relationships/hyperlink"/><Relationship Id="rId16" Target="file:///C:/Users/jenpe/OneDrive%20-%20Flinders/Employability_transferrable%20skills" TargetMode="External" Type="http://schemas.openxmlformats.org/officeDocument/2006/relationships/hyperlink"/><Relationship Id="rId17" Target="https://www.fya.org.au/wp-content/uploads/2016/04/The-New-Basics_Update_Web.pdf" TargetMode="External" Type="http://schemas.openxmlformats.org/officeDocument/2006/relationships/hyperlink"/><Relationship Id="rId18" Target="media/image1.png" Type="http://schemas.openxmlformats.org/officeDocument/2006/relationships/image"/><Relationship Id="rId19" Target="header1.xml" Type="http://schemas.openxmlformats.org/officeDocument/2006/relationships/header"/><Relationship Id="rId2" Target="../customXml/item2.xml" Type="http://schemas.openxmlformats.org/officeDocument/2006/relationships/customXml"/><Relationship Id="rId20" Target="header2.xml" Type="http://schemas.openxmlformats.org/officeDocument/2006/relationships/header"/><Relationship Id="rId21" Target="footer1.xml" Type="http://schemas.openxmlformats.org/officeDocument/2006/relationships/footer"/><Relationship Id="rId22" Target="footer2.xml" Type="http://schemas.openxmlformats.org/officeDocument/2006/relationships/footer"/><Relationship Id="rId23" Target="header3.xml" Type="http://schemas.openxmlformats.org/officeDocument/2006/relationships/header"/><Relationship Id="rId24" Target="footer3.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3A019CDBA1274590120056A4C3B8C9" ma:contentTypeVersion="15" ma:contentTypeDescription="Create a new document." ma:contentTypeScope="" ma:versionID="98387f76df0c8210691c2b9289f8f73f">
  <xsd:schema xmlns:xsd="http://www.w3.org/2001/XMLSchema" xmlns:xs="http://www.w3.org/2001/XMLSchema" xmlns:p="http://schemas.microsoft.com/office/2006/metadata/properties" xmlns:ns1="http://schemas.microsoft.com/sharepoint/v3" xmlns:ns2="ada6a495-88ac-432f-bb83-8c637f2e5cde" xmlns:ns3="9e4371a6-e373-409a-8ac2-abef215a7028" targetNamespace="http://schemas.microsoft.com/office/2006/metadata/properties" ma:root="true" ma:fieldsID="f60de3392440019d30d46b11ac43df05" ns1:_="" ns2:_="" ns3:_="">
    <xsd:import namespace="http://schemas.microsoft.com/sharepoint/v3"/>
    <xsd:import namespace="ada6a495-88ac-432f-bb83-8c637f2e5cde"/>
    <xsd:import namespace="9e4371a6-e373-409a-8ac2-abef215a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6a495-88ac-432f-bb83-8c637f2e5c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4371a6-e373-409a-8ac2-abef215a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A24AA-EACE-472F-B5FB-33F568D01349}">
  <ds:schemaRefs>
    <ds:schemaRef ds:uri="http://schemas.microsoft.com/office/infopath/2007/PartnerControls"/>
    <ds:schemaRef ds:uri="http://purl.org/dc/elements/1.1/"/>
    <ds:schemaRef ds:uri="http://purl.org/dc/term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9e4371a6-e373-409a-8ac2-abef215a7028"/>
    <ds:schemaRef ds:uri="ada6a495-88ac-432f-bb83-8c637f2e5cde"/>
    <ds:schemaRef ds:uri="http://www.w3.org/XML/1998/namespace"/>
  </ds:schemaRefs>
</ds:datastoreItem>
</file>

<file path=customXml/itemProps2.xml><?xml version="1.0" encoding="utf-8"?>
<ds:datastoreItem xmlns:ds="http://schemas.openxmlformats.org/officeDocument/2006/customXml" ds:itemID="{07F1DBFA-B2BD-45A8-B581-3A5997C04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a6a495-88ac-432f-bb83-8c637f2e5cde"/>
    <ds:schemaRef ds:uri="9e4371a6-e373-409a-8ac2-abef215a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40D04-CF1B-42AE-88EC-9D8BD1045DD2}">
  <ds:schemaRefs>
    <ds:schemaRef ds:uri="http://schemas.openxmlformats.org/officeDocument/2006/bibliography"/>
  </ds:schemaRefs>
</ds:datastoreItem>
</file>

<file path=customXml/itemProps4.xml><?xml version="1.0" encoding="utf-8"?>
<ds:datastoreItem xmlns:ds="http://schemas.openxmlformats.org/officeDocument/2006/customXml" ds:itemID="{14F743B4-F667-48F7-BE66-18122C63E0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673</Words>
  <Characters>3837</Characters>
  <Application>Microsoft Office Word</Application>
  <DocSecurity>0</DocSecurity>
  <Lines>31</Lines>
  <Paragraphs>9</Paragraphs>
  <ScaleCrop>false</ScaleCrop>
  <Company>Griffith University</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2021-07-23T02:25:00Z</dcterms:created>
  <dc:creator>Rebecca Eaton</dc:creator>
  <cp:lastModifiedBy>Jason Lange</cp:lastModifiedBy>
  <cp:lastPrinted>2019-01-15T00:06:00Z</cp:lastPrinted>
  <dcterms:modified xsi:type="dcterms:W3CDTF">2021-10-18T01:54:00Z</dcterms:modified>
  <cp:revision>9</cp:revision>
  <dc:title>Employability Technical Skills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0x0101004A3A019CDBA1274590120056A4C3B8C9</vt:lpwstr>
  </property>
</Properties>
</file>