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BD72" w14:textId="63198F0A" w:rsidR="00F94A92" w:rsidRPr="0049363F" w:rsidRDefault="00012499" w:rsidP="0049363F">
      <w:pPr>
        <w:pStyle w:val="Heading1"/>
      </w:pPr>
      <w:r w:rsidRPr="0049363F">
        <w:t>EMPLOYABILITY TOOLKIT</w:t>
      </w:r>
      <w:r w:rsidR="007866FB" w:rsidRPr="0049363F">
        <w:t xml:space="preserve"> – SELECTION CRITERIA</w:t>
      </w:r>
    </w:p>
    <w:p w14:paraId="1F86B279" w14:textId="4C1B8FD4" w:rsidR="00C232FE" w:rsidRPr="0049363F" w:rsidRDefault="00C232FE" w:rsidP="0049363F">
      <w:pPr>
        <w:rPr>
          <w:i/>
          <w:iCs/>
          <w:sz w:val="20"/>
          <w:szCs w:val="22"/>
        </w:rPr>
      </w:pPr>
      <w:r w:rsidRPr="0049363F">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49363F">
        <w:rPr>
          <w:i/>
          <w:iCs/>
          <w:sz w:val="20"/>
          <w:szCs w:val="22"/>
        </w:rPr>
        <w:t>is</w:t>
      </w:r>
      <w:proofErr w:type="gramEnd"/>
      <w:r w:rsidRPr="0049363F">
        <w:rPr>
          <w:i/>
          <w:iCs/>
          <w:sz w:val="20"/>
          <w:szCs w:val="22"/>
        </w:rPr>
        <w:t xml:space="preserve"> </w:t>
      </w:r>
      <w:hyperlink r:id="rId10" w:history="1">
        <w:r w:rsidRPr="0049363F">
          <w:rPr>
            <w:rStyle w:val="Hyperlink"/>
            <w:i/>
            <w:iCs/>
            <w:sz w:val="20"/>
            <w:szCs w:val="22"/>
          </w:rPr>
          <w:t>located here</w:t>
        </w:r>
      </w:hyperlink>
      <w:r w:rsidRPr="0049363F">
        <w:rPr>
          <w:i/>
          <w:iCs/>
          <w:sz w:val="20"/>
          <w:szCs w:val="22"/>
        </w:rPr>
        <w:t>. Topic Coordinators are welcome to adapt these to purpose.</w:t>
      </w:r>
    </w:p>
    <w:tbl>
      <w:tblPr>
        <w:tblStyle w:val="TableGrid"/>
        <w:tblW w:w="9024" w:type="dxa"/>
        <w:tblInd w:w="0" w:type="dxa"/>
        <w:tblLook w:val="04A0" w:firstRow="1" w:lastRow="0" w:firstColumn="1" w:lastColumn="0" w:noHBand="0" w:noVBand="1"/>
      </w:tblPr>
      <w:tblGrid>
        <w:gridCol w:w="1520"/>
        <w:gridCol w:w="6"/>
        <w:gridCol w:w="7490"/>
        <w:gridCol w:w="8"/>
      </w:tblGrid>
      <w:tr w:rsidR="00012499" w:rsidRPr="0049363F" w14:paraId="7008DA80" w14:textId="77777777" w:rsidTr="00C55575">
        <w:trPr>
          <w:gridAfter w:val="1"/>
          <w:wAfter w:w="8" w:type="dxa"/>
          <w:trHeight w:val="396"/>
        </w:trPr>
        <w:tc>
          <w:tcPr>
            <w:tcW w:w="1520" w:type="dxa"/>
            <w:shd w:val="clear" w:color="auto" w:fill="C5E0B3" w:themeFill="accent6" w:themeFillTint="66"/>
          </w:tcPr>
          <w:p w14:paraId="254D2817" w14:textId="56B8C82B" w:rsidR="00012499" w:rsidRPr="0049363F" w:rsidRDefault="00012499" w:rsidP="0049363F">
            <w:pPr>
              <w:rPr>
                <w:b/>
                <w:bCs/>
              </w:rPr>
            </w:pPr>
            <w:r w:rsidRPr="0049363F">
              <w:rPr>
                <w:b/>
                <w:bCs/>
              </w:rPr>
              <w:t>Task</w:t>
            </w:r>
          </w:p>
        </w:tc>
        <w:tc>
          <w:tcPr>
            <w:tcW w:w="7496" w:type="dxa"/>
            <w:gridSpan w:val="2"/>
          </w:tcPr>
          <w:p w14:paraId="1C07BDCB" w14:textId="461C8CED" w:rsidR="00012499" w:rsidRPr="0049363F" w:rsidRDefault="00620CE1" w:rsidP="0049363F">
            <w:r w:rsidRPr="0049363F">
              <w:t>S</w:t>
            </w:r>
            <w:r w:rsidR="00055EAA" w:rsidRPr="0049363F">
              <w:t xml:space="preserve">election </w:t>
            </w:r>
            <w:r w:rsidRPr="0049363F">
              <w:t>C</w:t>
            </w:r>
            <w:r w:rsidR="00055EAA" w:rsidRPr="0049363F">
              <w:t>riteria</w:t>
            </w:r>
          </w:p>
        </w:tc>
      </w:tr>
      <w:tr w:rsidR="00012499" w:rsidRPr="0049363F" w14:paraId="3A7D1E30" w14:textId="77777777" w:rsidTr="00C55575">
        <w:trPr>
          <w:gridAfter w:val="1"/>
          <w:wAfter w:w="8" w:type="dxa"/>
          <w:trHeight w:val="396"/>
        </w:trPr>
        <w:tc>
          <w:tcPr>
            <w:tcW w:w="1520" w:type="dxa"/>
            <w:shd w:val="clear" w:color="auto" w:fill="C5E0B3" w:themeFill="accent6" w:themeFillTint="66"/>
          </w:tcPr>
          <w:p w14:paraId="1EB364D3" w14:textId="09E3F3B0" w:rsidR="00012499" w:rsidRPr="0049363F" w:rsidRDefault="00012499" w:rsidP="0049363F">
            <w:pPr>
              <w:rPr>
                <w:b/>
                <w:bCs/>
              </w:rPr>
            </w:pPr>
            <w:r w:rsidRPr="0049363F">
              <w:rPr>
                <w:b/>
                <w:bCs/>
              </w:rPr>
              <w:t>Task type</w:t>
            </w:r>
          </w:p>
        </w:tc>
        <w:tc>
          <w:tcPr>
            <w:tcW w:w="7496" w:type="dxa"/>
            <w:gridSpan w:val="2"/>
          </w:tcPr>
          <w:p w14:paraId="632FC3F3" w14:textId="5253EA6D" w:rsidR="00012499" w:rsidRPr="0049363F" w:rsidRDefault="00C131B7" w:rsidP="0049363F">
            <w:r w:rsidRPr="0049363F">
              <w:t>Written</w:t>
            </w:r>
            <w:r w:rsidR="00A043B1" w:rsidRPr="0049363F">
              <w:t xml:space="preserve"> </w:t>
            </w:r>
            <w:r w:rsidR="00983AE2" w:rsidRPr="0049363F">
              <w:t>Task</w:t>
            </w:r>
          </w:p>
        </w:tc>
      </w:tr>
      <w:tr w:rsidR="00012499" w:rsidRPr="0049363F" w14:paraId="3CFBE003" w14:textId="77777777" w:rsidTr="00C55575">
        <w:trPr>
          <w:gridAfter w:val="1"/>
          <w:wAfter w:w="8" w:type="dxa"/>
          <w:trHeight w:val="421"/>
        </w:trPr>
        <w:tc>
          <w:tcPr>
            <w:tcW w:w="1520" w:type="dxa"/>
            <w:shd w:val="clear" w:color="auto" w:fill="C5E0B3" w:themeFill="accent6" w:themeFillTint="66"/>
          </w:tcPr>
          <w:p w14:paraId="08E30253" w14:textId="09086728" w:rsidR="00012499" w:rsidRPr="0049363F" w:rsidRDefault="00012499" w:rsidP="0049363F">
            <w:pPr>
              <w:rPr>
                <w:b/>
                <w:bCs/>
              </w:rPr>
            </w:pPr>
            <w:r w:rsidRPr="0049363F">
              <w:rPr>
                <w:b/>
                <w:bCs/>
              </w:rPr>
              <w:t>Length </w:t>
            </w:r>
          </w:p>
        </w:tc>
        <w:tc>
          <w:tcPr>
            <w:tcW w:w="7496" w:type="dxa"/>
            <w:gridSpan w:val="2"/>
          </w:tcPr>
          <w:p w14:paraId="07DCCEF2" w14:textId="20292051" w:rsidR="00012499" w:rsidRPr="0049363F" w:rsidRDefault="00055EAA" w:rsidP="0049363F">
            <w:r w:rsidRPr="0049363F">
              <w:t>750 words</w:t>
            </w:r>
          </w:p>
        </w:tc>
      </w:tr>
      <w:tr w:rsidR="00C55575" w:rsidRPr="0049363F" w14:paraId="5FB8F08F" w14:textId="77777777" w:rsidTr="00C55575">
        <w:trPr>
          <w:gridAfter w:val="1"/>
          <w:wAfter w:w="8" w:type="dxa"/>
          <w:trHeight w:val="399"/>
        </w:trPr>
        <w:tc>
          <w:tcPr>
            <w:tcW w:w="1520" w:type="dxa"/>
            <w:shd w:val="clear" w:color="auto" w:fill="C5E0B3" w:themeFill="accent6" w:themeFillTint="66"/>
          </w:tcPr>
          <w:p w14:paraId="4CE42FA2" w14:textId="49C82B87" w:rsidR="00C55575" w:rsidRPr="0049363F" w:rsidRDefault="00C55575" w:rsidP="0049363F">
            <w:pPr>
              <w:rPr>
                <w:b/>
                <w:bCs/>
              </w:rPr>
            </w:pPr>
            <w:r w:rsidRPr="0049363F">
              <w:rPr>
                <w:b/>
                <w:bCs/>
              </w:rPr>
              <w:t>Learning outcomes*</w:t>
            </w:r>
          </w:p>
        </w:tc>
        <w:tc>
          <w:tcPr>
            <w:tcW w:w="7496" w:type="dxa"/>
            <w:gridSpan w:val="2"/>
          </w:tcPr>
          <w:p w14:paraId="69042980" w14:textId="77777777" w:rsidR="00C55575" w:rsidRPr="0049363F" w:rsidRDefault="00C55575" w:rsidP="0049363F"/>
        </w:tc>
      </w:tr>
      <w:tr w:rsidR="00C55575" w:rsidRPr="0049363F" w14:paraId="7D5BF0DA" w14:textId="77777777" w:rsidTr="00C55575">
        <w:trPr>
          <w:gridAfter w:val="1"/>
          <w:wAfter w:w="8" w:type="dxa"/>
          <w:trHeight w:val="399"/>
        </w:trPr>
        <w:tc>
          <w:tcPr>
            <w:tcW w:w="1520" w:type="dxa"/>
            <w:shd w:val="clear" w:color="auto" w:fill="C5E0B3" w:themeFill="accent6" w:themeFillTint="66"/>
          </w:tcPr>
          <w:p w14:paraId="18EEC768" w14:textId="64347D65" w:rsidR="00C55575" w:rsidRPr="0049363F" w:rsidRDefault="00C55575" w:rsidP="0049363F">
            <w:pPr>
              <w:rPr>
                <w:b/>
                <w:bCs/>
              </w:rPr>
            </w:pPr>
            <w:r w:rsidRPr="0049363F">
              <w:rPr>
                <w:b/>
                <w:bCs/>
              </w:rPr>
              <w:t>Employability skills</w:t>
            </w:r>
          </w:p>
        </w:tc>
        <w:tc>
          <w:tcPr>
            <w:tcW w:w="7496" w:type="dxa"/>
            <w:gridSpan w:val="2"/>
          </w:tcPr>
          <w:p w14:paraId="1B64995B" w14:textId="4CBB7AF6" w:rsidR="00C55575" w:rsidRPr="0049363F" w:rsidRDefault="00C55575" w:rsidP="0049363F">
            <w:r w:rsidRPr="0049363F">
              <w:t>Initiative; self-management; communication; critical thinking</w:t>
            </w:r>
          </w:p>
        </w:tc>
      </w:tr>
      <w:tr w:rsidR="00D620FD" w:rsidRPr="0049363F" w14:paraId="2A5F746A" w14:textId="77777777" w:rsidTr="00D620FD">
        <w:trPr>
          <w:trHeight w:val="399"/>
        </w:trPr>
        <w:tc>
          <w:tcPr>
            <w:tcW w:w="152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2C4E5E" w14:textId="0EC295B5" w:rsidR="00D620FD" w:rsidRPr="0049363F" w:rsidRDefault="0049363F" w:rsidP="0049363F">
            <w:pPr>
              <w:rPr>
                <w:b/>
                <w:bCs/>
              </w:rPr>
            </w:pPr>
            <w:hyperlink r:id="rId11" w:history="1">
              <w:r w:rsidR="009D0635" w:rsidRPr="0049363F">
                <w:rPr>
                  <w:rStyle w:val="Hyperlink"/>
                  <w:b/>
                  <w:bCs/>
                </w:rPr>
                <w:t>Employability Toolkit Category</w:t>
              </w:r>
            </w:hyperlink>
          </w:p>
        </w:tc>
        <w:tc>
          <w:tcPr>
            <w:tcW w:w="7498" w:type="dxa"/>
            <w:gridSpan w:val="2"/>
            <w:tcBorders>
              <w:top w:val="single" w:sz="4" w:space="0" w:color="auto"/>
              <w:left w:val="single" w:sz="4" w:space="0" w:color="auto"/>
              <w:bottom w:val="single" w:sz="4" w:space="0" w:color="auto"/>
              <w:right w:val="single" w:sz="4" w:space="0" w:color="auto"/>
            </w:tcBorders>
            <w:hideMark/>
          </w:tcPr>
          <w:p w14:paraId="2EC72EE9" w14:textId="626AAF86" w:rsidR="00D620FD" w:rsidRPr="0049363F" w:rsidRDefault="00D620FD" w:rsidP="0049363F">
            <w:r w:rsidRPr="0049363F">
              <w:t xml:space="preserve">Develop and customise job applications and interview skills </w:t>
            </w:r>
          </w:p>
        </w:tc>
      </w:tr>
      <w:tr w:rsidR="00C55575" w:rsidRPr="0049363F" w14:paraId="62723522" w14:textId="77777777" w:rsidTr="00C55575">
        <w:trPr>
          <w:gridAfter w:val="1"/>
          <w:wAfter w:w="8" w:type="dxa"/>
          <w:trHeight w:val="399"/>
        </w:trPr>
        <w:tc>
          <w:tcPr>
            <w:tcW w:w="1520" w:type="dxa"/>
            <w:shd w:val="clear" w:color="auto" w:fill="C5E0B3" w:themeFill="accent6" w:themeFillTint="66"/>
          </w:tcPr>
          <w:p w14:paraId="23A959CE" w14:textId="1070931B" w:rsidR="00C55575" w:rsidRPr="0049363F" w:rsidRDefault="00C55575" w:rsidP="0049363F">
            <w:pPr>
              <w:rPr>
                <w:b/>
                <w:bCs/>
              </w:rPr>
            </w:pPr>
            <w:r w:rsidRPr="0049363F">
              <w:rPr>
                <w:b/>
                <w:bCs/>
              </w:rPr>
              <w:t>ABCD*</w:t>
            </w:r>
            <w:r w:rsidR="00B07551" w:rsidRPr="0049363F">
              <w:rPr>
                <w:b/>
                <w:bCs/>
              </w:rPr>
              <w:t>*</w:t>
            </w:r>
          </w:p>
        </w:tc>
        <w:tc>
          <w:tcPr>
            <w:tcW w:w="7496" w:type="dxa"/>
            <w:gridSpan w:val="2"/>
          </w:tcPr>
          <w:p w14:paraId="32E6FC84" w14:textId="7739D4CF" w:rsidR="00C55575" w:rsidRPr="0049363F" w:rsidRDefault="00C55575" w:rsidP="0049363F">
            <w:r w:rsidRPr="0049363F">
              <w:t>Career building: students will improve on abilities to seek, obtain/</w:t>
            </w:r>
            <w:proofErr w:type="gramStart"/>
            <w:r w:rsidRPr="0049363F">
              <w:t>create</w:t>
            </w:r>
            <w:proofErr w:type="gramEnd"/>
            <w:r w:rsidRPr="0049363F">
              <w:t xml:space="preserve"> and maintain work (C7, P4)</w:t>
            </w:r>
          </w:p>
        </w:tc>
      </w:tr>
    </w:tbl>
    <w:p w14:paraId="65048B96" w14:textId="034EDEA4" w:rsidR="007D17C8" w:rsidRPr="00E47600" w:rsidRDefault="007D17C8" w:rsidP="00E47600">
      <w:pPr>
        <w:rPr>
          <w:i/>
          <w:iCs/>
          <w:sz w:val="20"/>
          <w:szCs w:val="20"/>
        </w:rPr>
      </w:pPr>
      <w:r w:rsidRPr="00E47600">
        <w:rPr>
          <w:i/>
          <w:iCs/>
          <w:sz w:val="20"/>
          <w:szCs w:val="20"/>
        </w:rPr>
        <w:t xml:space="preserve">*Topic Coordinator to map to learning outcomes; **Mapped to </w:t>
      </w:r>
      <w:hyperlink r:id="rId12" w:history="1">
        <w:r w:rsidRPr="00A10E65">
          <w:rPr>
            <w:rStyle w:val="Hyperlink"/>
            <w:i/>
            <w:iCs/>
            <w:sz w:val="20"/>
            <w:szCs w:val="20"/>
          </w:rPr>
          <w:t>Australian Blueprint for Career Development</w:t>
        </w:r>
      </w:hyperlink>
      <w:r w:rsidRPr="00E47600">
        <w:rPr>
          <w:i/>
          <w:iCs/>
          <w:sz w:val="20"/>
          <w:szCs w:val="20"/>
        </w:rPr>
        <w:t xml:space="preserve"> </w:t>
      </w:r>
    </w:p>
    <w:p w14:paraId="7C05F2F1" w14:textId="77777777" w:rsidR="009766B6" w:rsidRDefault="00012499" w:rsidP="00E22ECF">
      <w:pPr>
        <w:pStyle w:val="Heading2"/>
      </w:pPr>
      <w:r w:rsidRPr="0079244D">
        <w:t>Task Objectives</w:t>
      </w:r>
    </w:p>
    <w:p w14:paraId="36C7A898" w14:textId="427ACC8C" w:rsidR="00055EAA" w:rsidRPr="00E47600" w:rsidRDefault="00055EAA" w:rsidP="009766B6">
      <w:pPr>
        <w:pStyle w:val="ListParagraph"/>
        <w:numPr>
          <w:ilvl w:val="0"/>
          <w:numId w:val="34"/>
        </w:numPr>
      </w:pPr>
      <w:r w:rsidRPr="00E47600">
        <w:t xml:space="preserve">Respond effectively to selection criteria </w:t>
      </w:r>
    </w:p>
    <w:p w14:paraId="6CC6CDC6" w14:textId="46716FC8" w:rsidR="00012499" w:rsidRPr="007866FB" w:rsidRDefault="00012499" w:rsidP="00E22ECF">
      <w:pPr>
        <w:pStyle w:val="Heading2"/>
      </w:pPr>
      <w:r w:rsidRPr="007866FB">
        <w:t>Task Rationale</w:t>
      </w:r>
    </w:p>
    <w:p w14:paraId="62B4E78E" w14:textId="0D796AED" w:rsidR="001641B4" w:rsidRPr="0049363F" w:rsidRDefault="00F347B1" w:rsidP="0049363F">
      <w:r w:rsidRPr="0049363F">
        <w:t xml:space="preserve">Selection criteria describe the personal qualities, skills, attributes, </w:t>
      </w:r>
      <w:proofErr w:type="gramStart"/>
      <w:r w:rsidRPr="0049363F">
        <w:t>knowledge</w:t>
      </w:r>
      <w:proofErr w:type="gramEnd"/>
      <w:r w:rsidRPr="0049363F">
        <w:t xml:space="preserve"> and qualifications a person needs to perform </w:t>
      </w:r>
      <w:r w:rsidR="007F6B92" w:rsidRPr="0049363F">
        <w:t>a</w:t>
      </w:r>
      <w:r w:rsidRPr="0049363F">
        <w:t xml:space="preserve"> role effectively. </w:t>
      </w:r>
      <w:r w:rsidR="001641B4" w:rsidRPr="0049363F">
        <w:t xml:space="preserve">Selection criteria are </w:t>
      </w:r>
      <w:r w:rsidR="00E26ECE" w:rsidRPr="0049363F">
        <w:t>common in government, not-for-profit and education sectors. They are used</w:t>
      </w:r>
      <w:r w:rsidR="001641B4" w:rsidRPr="0049363F">
        <w:t xml:space="preserve"> to assess and compare job applications with scoring usually occurring against criteria to </w:t>
      </w:r>
      <w:r w:rsidR="00BC6A98" w:rsidRPr="0049363F">
        <w:t>decide which</w:t>
      </w:r>
      <w:r w:rsidR="001641B4" w:rsidRPr="0049363F">
        <w:t xml:space="preserve"> candidates</w:t>
      </w:r>
      <w:r w:rsidR="00BC6A98" w:rsidRPr="0049363F">
        <w:t xml:space="preserve"> move to the next stage of recruitment.</w:t>
      </w:r>
    </w:p>
    <w:p w14:paraId="2BB6BADC" w14:textId="512426F3" w:rsidR="00F347B1" w:rsidRPr="0049363F" w:rsidRDefault="00F347B1" w:rsidP="0049363F">
      <w:r w:rsidRPr="0049363F">
        <w:t>Some common examples of Selection Criteria include: </w:t>
      </w:r>
    </w:p>
    <w:p w14:paraId="1C2B44D1" w14:textId="51232FDA" w:rsidR="00F347B1" w:rsidRPr="0049363F" w:rsidRDefault="00F347B1" w:rsidP="0049363F">
      <w:pPr>
        <w:pStyle w:val="ListParagraph"/>
        <w:numPr>
          <w:ilvl w:val="0"/>
          <w:numId w:val="38"/>
        </w:numPr>
      </w:pPr>
      <w:r w:rsidRPr="0049363F">
        <w:t xml:space="preserve">Proven ability to work </w:t>
      </w:r>
      <w:r w:rsidR="00074710" w:rsidRPr="0049363F">
        <w:t xml:space="preserve">effectively both </w:t>
      </w:r>
      <w:r w:rsidRPr="0049363F">
        <w:t>as part of a team</w:t>
      </w:r>
      <w:r w:rsidR="00074710" w:rsidRPr="0049363F">
        <w:t xml:space="preserve"> and independently</w:t>
      </w:r>
    </w:p>
    <w:p w14:paraId="051615D5" w14:textId="77777777" w:rsidR="00074710" w:rsidRPr="0049363F" w:rsidRDefault="00074710" w:rsidP="0049363F">
      <w:pPr>
        <w:pStyle w:val="ListParagraph"/>
        <w:numPr>
          <w:ilvl w:val="0"/>
          <w:numId w:val="38"/>
        </w:numPr>
      </w:pPr>
      <w:r w:rsidRPr="0049363F">
        <w:t>Excellent communication (oral and written) and interpersonal skills</w:t>
      </w:r>
    </w:p>
    <w:p w14:paraId="52710322" w14:textId="7C71CC5D" w:rsidR="00F347B1" w:rsidRPr="0049363F" w:rsidRDefault="00F347B1" w:rsidP="0049363F">
      <w:pPr>
        <w:pStyle w:val="ListParagraph"/>
        <w:numPr>
          <w:ilvl w:val="0"/>
          <w:numId w:val="38"/>
        </w:numPr>
      </w:pPr>
      <w:r w:rsidRPr="0049363F">
        <w:t>Good organisational and administrative skills </w:t>
      </w:r>
    </w:p>
    <w:p w14:paraId="5D9C1AFD" w14:textId="77777777" w:rsidR="00204F30" w:rsidRPr="0049363F" w:rsidRDefault="00204F30" w:rsidP="0049363F">
      <w:pPr>
        <w:pStyle w:val="ListParagraph"/>
        <w:numPr>
          <w:ilvl w:val="0"/>
          <w:numId w:val="38"/>
        </w:numPr>
      </w:pPr>
      <w:r w:rsidRPr="0049363F">
        <w:t>Ability to problem-solve</w:t>
      </w:r>
    </w:p>
    <w:p w14:paraId="74218EA5" w14:textId="18D604A0" w:rsidR="00736745" w:rsidRPr="0049363F" w:rsidRDefault="00204F30" w:rsidP="0049363F">
      <w:pPr>
        <w:pStyle w:val="ListParagraph"/>
        <w:numPr>
          <w:ilvl w:val="0"/>
          <w:numId w:val="38"/>
        </w:numPr>
      </w:pPr>
      <w:r w:rsidRPr="0049363F">
        <w:t>Demonstrated leadership skills and ability to use initiative</w:t>
      </w:r>
    </w:p>
    <w:p w14:paraId="6F6D9C64" w14:textId="3793B354" w:rsidR="00012499" w:rsidRPr="00E22ECF" w:rsidRDefault="008774F0" w:rsidP="00E22ECF">
      <w:r w:rsidRPr="00E22ECF">
        <w:t xml:space="preserve">Where </w:t>
      </w:r>
      <w:r w:rsidR="007F6B92" w:rsidRPr="00E22ECF">
        <w:t>instructions to applicants require a response to selection criteria</w:t>
      </w:r>
      <w:r w:rsidRPr="00E22ECF">
        <w:t xml:space="preserve"> you will</w:t>
      </w:r>
      <w:r w:rsidR="007B1D09" w:rsidRPr="00E22ECF">
        <w:t xml:space="preserve"> usually f</w:t>
      </w:r>
      <w:r w:rsidRPr="00E22ECF">
        <w:t>ind these</w:t>
      </w:r>
      <w:r w:rsidR="007B1D09" w:rsidRPr="00E22ECF">
        <w:t xml:space="preserve"> under ‘Essential’ and ‘Desirable’ criteria in a position description.</w:t>
      </w:r>
      <w:r w:rsidR="007F6B92" w:rsidRPr="00E22ECF">
        <w:t xml:space="preserve"> Responses to selection criteria may be required in addition to a </w:t>
      </w:r>
      <w:r w:rsidR="003375EA" w:rsidRPr="00E22ECF">
        <w:t>one-page</w:t>
      </w:r>
      <w:r w:rsidR="009307FD" w:rsidRPr="00E22ECF">
        <w:t xml:space="preserve"> cover letter</w:t>
      </w:r>
      <w:r w:rsidR="0075441C" w:rsidRPr="00E22ECF">
        <w:t xml:space="preserve"> – these </w:t>
      </w:r>
      <w:r w:rsidRPr="00E22ECF">
        <w:t xml:space="preserve">separate documents </w:t>
      </w:r>
      <w:r w:rsidR="0075441C" w:rsidRPr="00E22ECF">
        <w:t>are commonly called Selection Statements</w:t>
      </w:r>
      <w:r w:rsidR="009307FD" w:rsidRPr="00E22ECF">
        <w:t xml:space="preserve">. </w:t>
      </w:r>
      <w:proofErr w:type="gramStart"/>
      <w:r w:rsidR="009307FD" w:rsidRPr="00E22ECF">
        <w:t>Or,</w:t>
      </w:r>
      <w:proofErr w:type="gramEnd"/>
      <w:r w:rsidR="009307FD" w:rsidRPr="00E22ECF">
        <w:t xml:space="preserve"> you</w:t>
      </w:r>
      <w:r w:rsidR="0075441C" w:rsidRPr="00E22ECF">
        <w:t xml:space="preserve"> may be asked to </w:t>
      </w:r>
      <w:r w:rsidR="009307FD" w:rsidRPr="00E22ECF">
        <w:t xml:space="preserve">incorporate your responses to the selection criteria in </w:t>
      </w:r>
      <w:r w:rsidR="0075441C" w:rsidRPr="00E22ECF">
        <w:t xml:space="preserve">a </w:t>
      </w:r>
      <w:r w:rsidR="009307FD" w:rsidRPr="00E22ECF">
        <w:t xml:space="preserve">multiple </w:t>
      </w:r>
      <w:r w:rsidR="0075441C" w:rsidRPr="00E22ECF">
        <w:t xml:space="preserve">(usually 2-3) </w:t>
      </w:r>
      <w:r w:rsidR="00221DD9" w:rsidRPr="00E22ECF">
        <w:t xml:space="preserve">page </w:t>
      </w:r>
      <w:r w:rsidR="0075441C" w:rsidRPr="00E22ECF">
        <w:t>cover letter.</w:t>
      </w:r>
    </w:p>
    <w:p w14:paraId="4B7DAE79" w14:textId="28E53341" w:rsidR="00675ABA" w:rsidRPr="00E22ECF" w:rsidRDefault="00675ABA" w:rsidP="00E22ECF">
      <w:r w:rsidRPr="00E22ECF">
        <w:t xml:space="preserve">Knowing how to respond to Selection Criteria is an essential skill in managing </w:t>
      </w:r>
      <w:r w:rsidR="006D068B" w:rsidRPr="00E22ECF">
        <w:t>your career.</w:t>
      </w:r>
      <w:r w:rsidR="00A568B6" w:rsidRPr="00E22ECF">
        <w:t xml:space="preserve"> This task introduces the STAR framework, a common </w:t>
      </w:r>
      <w:r w:rsidR="00BD6309" w:rsidRPr="00E22ECF">
        <w:t xml:space="preserve">approach to structuring responses to </w:t>
      </w:r>
      <w:r w:rsidR="00650A63" w:rsidRPr="00E22ECF">
        <w:t xml:space="preserve">individual </w:t>
      </w:r>
      <w:r w:rsidR="00BD6309" w:rsidRPr="00E22ECF">
        <w:t xml:space="preserve">selection criteria </w:t>
      </w:r>
      <w:r w:rsidR="00650A63" w:rsidRPr="00E22ECF">
        <w:t xml:space="preserve">enabling </w:t>
      </w:r>
      <w:r w:rsidR="00954E71" w:rsidRPr="00E22ECF">
        <w:t>you</w:t>
      </w:r>
      <w:r w:rsidR="00650A63" w:rsidRPr="00E22ECF">
        <w:t xml:space="preserve"> to</w:t>
      </w:r>
      <w:r w:rsidR="00BD6309" w:rsidRPr="00E22ECF">
        <w:t xml:space="preserve"> provid</w:t>
      </w:r>
      <w:r w:rsidR="00650A63" w:rsidRPr="00E22ECF">
        <w:t>e</w:t>
      </w:r>
      <w:r w:rsidR="00BD6309" w:rsidRPr="00E22ECF">
        <w:t xml:space="preserve"> specific </w:t>
      </w:r>
      <w:r w:rsidR="00650A63" w:rsidRPr="00E22ECF">
        <w:t xml:space="preserve">and relevant </w:t>
      </w:r>
      <w:r w:rsidR="00BD6309" w:rsidRPr="00E22ECF">
        <w:t xml:space="preserve">evidence </w:t>
      </w:r>
      <w:r w:rsidR="00294C36" w:rsidRPr="00E22ECF">
        <w:t xml:space="preserve">that they meet </w:t>
      </w:r>
      <w:r w:rsidR="00F05611" w:rsidRPr="00E22ECF">
        <w:t xml:space="preserve">each </w:t>
      </w:r>
      <w:r w:rsidR="00294C36" w:rsidRPr="00E22ECF">
        <w:t xml:space="preserve">criterion. </w:t>
      </w:r>
    </w:p>
    <w:p w14:paraId="099A1495" w14:textId="77777777" w:rsidR="00C232FE" w:rsidRPr="00E22ECF" w:rsidRDefault="00C232FE" w:rsidP="00E22ECF">
      <w:r w:rsidRPr="00E22ECF">
        <w:br w:type="page"/>
      </w:r>
    </w:p>
    <w:p w14:paraId="5B158B88" w14:textId="664F41BE" w:rsidR="00012499" w:rsidRPr="00B53F07" w:rsidRDefault="00012499" w:rsidP="00E22ECF">
      <w:pPr>
        <w:pStyle w:val="Heading2"/>
      </w:pPr>
      <w:r w:rsidRPr="00B53F07">
        <w:lastRenderedPageBreak/>
        <w:t>Task Description</w:t>
      </w:r>
    </w:p>
    <w:p w14:paraId="7BA411EE" w14:textId="3BB1E1A5" w:rsidR="00BC1E40" w:rsidRPr="00E22ECF" w:rsidRDefault="00120F95" w:rsidP="00E22ECF">
      <w:r w:rsidRPr="00E22ECF">
        <w:t xml:space="preserve">For this task </w:t>
      </w:r>
      <w:r w:rsidR="00441537" w:rsidRPr="00E22ECF">
        <w:t xml:space="preserve">you will practice responding to Selection Criteria. </w:t>
      </w:r>
    </w:p>
    <w:p w14:paraId="4C233E66" w14:textId="41716AC6" w:rsidR="00312BA4" w:rsidRPr="00E22ECF" w:rsidRDefault="00312BA4" w:rsidP="00E22ECF">
      <w:pPr>
        <w:pStyle w:val="ListParagraph"/>
        <w:numPr>
          <w:ilvl w:val="0"/>
          <w:numId w:val="37"/>
        </w:numPr>
      </w:pPr>
      <w:r w:rsidRPr="00E22ECF">
        <w:t>Find a job advertisement that is relevant to your chosen field</w:t>
      </w:r>
      <w:r w:rsidR="368B0661" w:rsidRPr="00E22ECF">
        <w:t xml:space="preserve"> and includes selection criteria (or use one of the examples provided by your lecturer on FLO)</w:t>
      </w:r>
      <w:r w:rsidRPr="00E22ECF">
        <w:t xml:space="preserve"> </w:t>
      </w:r>
    </w:p>
    <w:p w14:paraId="39E7BF61" w14:textId="023C99B4" w:rsidR="00AF73BB" w:rsidRPr="00E22ECF" w:rsidRDefault="00F064F9" w:rsidP="00E22ECF">
      <w:pPr>
        <w:pStyle w:val="ListParagraph"/>
        <w:numPr>
          <w:ilvl w:val="0"/>
          <w:numId w:val="37"/>
        </w:numPr>
      </w:pPr>
      <w:r w:rsidRPr="00E22ECF">
        <w:t>Prepare</w:t>
      </w:r>
      <w:r w:rsidR="00055EAA" w:rsidRPr="00E22ECF">
        <w:t xml:space="preserve"> responses to </w:t>
      </w:r>
      <w:r w:rsidR="006F2637" w:rsidRPr="00E22ECF">
        <w:rPr>
          <w:b/>
          <w:bCs/>
        </w:rPr>
        <w:t>THREE</w:t>
      </w:r>
      <w:r w:rsidR="00055EAA" w:rsidRPr="00E22ECF">
        <w:t xml:space="preserve"> selection criteria for </w:t>
      </w:r>
      <w:r w:rsidR="00055EAA" w:rsidRPr="00E22ECF">
        <w:rPr>
          <w:b/>
          <w:bCs/>
        </w:rPr>
        <w:t>ONE</w:t>
      </w:r>
      <w:r w:rsidR="00055EAA" w:rsidRPr="00E22ECF">
        <w:t xml:space="preserve"> job </w:t>
      </w:r>
      <w:r w:rsidR="00BA16AF" w:rsidRPr="00E22ECF">
        <w:t>using the STAR framework</w:t>
      </w:r>
    </w:p>
    <w:p w14:paraId="748B3FF8" w14:textId="51A91A5C" w:rsidR="00055EAA" w:rsidRPr="00E22ECF" w:rsidRDefault="00055EAA" w:rsidP="00E22ECF">
      <w:pPr>
        <w:pStyle w:val="ListParagraph"/>
        <w:numPr>
          <w:ilvl w:val="0"/>
          <w:numId w:val="37"/>
        </w:numPr>
      </w:pPr>
      <w:r w:rsidRPr="00E22ECF">
        <w:t xml:space="preserve">Each response should be no more than </w:t>
      </w:r>
      <w:r w:rsidRPr="00E22ECF">
        <w:rPr>
          <w:b/>
          <w:bCs/>
        </w:rPr>
        <w:t>250 words</w:t>
      </w:r>
      <w:r w:rsidRPr="00E22ECF">
        <w:t xml:space="preserve"> (750 words total</w:t>
      </w:r>
      <w:r w:rsidR="00BA16AF" w:rsidRPr="00E22ECF">
        <w:t>)</w:t>
      </w:r>
    </w:p>
    <w:p w14:paraId="5F651B41" w14:textId="258AE3EC" w:rsidR="00DF7117" w:rsidRPr="00E22ECF" w:rsidRDefault="00DF7117" w:rsidP="00E22ECF">
      <w:pPr>
        <w:pStyle w:val="ListParagraph"/>
        <w:numPr>
          <w:ilvl w:val="0"/>
          <w:numId w:val="37"/>
        </w:numPr>
      </w:pPr>
      <w:r w:rsidRPr="00E22ECF">
        <w:t>Ensure the original job advertisement is included with your responses</w:t>
      </w:r>
    </w:p>
    <w:p w14:paraId="3EF787D6" w14:textId="3298796C" w:rsidR="00055EAA" w:rsidRPr="00C24EBF" w:rsidRDefault="00055EAA" w:rsidP="00E22ECF">
      <w:pPr>
        <w:pStyle w:val="Heading2"/>
      </w:pPr>
      <w:r w:rsidRPr="00C24EBF">
        <w:t xml:space="preserve">Additional information </w:t>
      </w:r>
    </w:p>
    <w:p w14:paraId="11882A11" w14:textId="2084F54F" w:rsidR="00E94B77" w:rsidRPr="00E22ECF" w:rsidRDefault="0095068E" w:rsidP="00E22ECF">
      <w:pPr>
        <w:pStyle w:val="ListParagraph"/>
        <w:numPr>
          <w:ilvl w:val="0"/>
          <w:numId w:val="36"/>
        </w:numPr>
      </w:pPr>
      <w:r w:rsidRPr="00E22ECF">
        <w:t>Often you will be asked to</w:t>
      </w:r>
      <w:r w:rsidR="00E94B77" w:rsidRPr="00E22ECF">
        <w:t xml:space="preserve"> respond to </w:t>
      </w:r>
      <w:r w:rsidR="00E94B77" w:rsidRPr="00E22ECF">
        <w:rPr>
          <w:b/>
          <w:bCs/>
        </w:rPr>
        <w:t>ALL</w:t>
      </w:r>
      <w:r w:rsidR="00E94B77" w:rsidRPr="00E22ECF">
        <w:t xml:space="preserve"> criteria; in this case we are asking you to select just </w:t>
      </w:r>
      <w:r w:rsidR="00A8243F" w:rsidRPr="00E22ECF">
        <w:rPr>
          <w:b/>
          <w:bCs/>
        </w:rPr>
        <w:t>THREE</w:t>
      </w:r>
      <w:r w:rsidR="00E94B77" w:rsidRPr="00E22ECF">
        <w:t xml:space="preserve">. Ensure they are diverse and </w:t>
      </w:r>
      <w:r w:rsidR="00A8243F" w:rsidRPr="00E22ECF">
        <w:t>extracted from a single</w:t>
      </w:r>
      <w:r w:rsidR="00E94B77" w:rsidRPr="00E22ECF">
        <w:t xml:space="preserve"> job advertisement.</w:t>
      </w:r>
    </w:p>
    <w:p w14:paraId="5D0D4823" w14:textId="6E975BB7" w:rsidR="00356E87" w:rsidRPr="00E22ECF" w:rsidRDefault="00356E87" w:rsidP="00E22ECF">
      <w:pPr>
        <w:pStyle w:val="ListParagraph"/>
        <w:numPr>
          <w:ilvl w:val="0"/>
          <w:numId w:val="36"/>
        </w:numPr>
      </w:pPr>
      <w:r w:rsidRPr="00E22ECF">
        <w:t xml:space="preserve">Responses may draw on evidence from </w:t>
      </w:r>
      <w:r w:rsidR="006142C5" w:rsidRPr="00E22ECF">
        <w:t>your academic</w:t>
      </w:r>
      <w:r w:rsidR="00E94B77" w:rsidRPr="00E22ECF">
        <w:t xml:space="preserve"> studies; </w:t>
      </w:r>
      <w:r w:rsidR="006142C5" w:rsidRPr="00E22ECF">
        <w:t xml:space="preserve">sector-related placements, </w:t>
      </w:r>
      <w:proofErr w:type="gramStart"/>
      <w:r w:rsidR="006142C5" w:rsidRPr="00E22ECF">
        <w:t>volunteering</w:t>
      </w:r>
      <w:proofErr w:type="gramEnd"/>
      <w:r w:rsidR="006142C5" w:rsidRPr="00E22ECF">
        <w:t xml:space="preserve"> or work</w:t>
      </w:r>
      <w:r w:rsidR="00E94B77" w:rsidRPr="00E22ECF">
        <w:t>;</w:t>
      </w:r>
      <w:r w:rsidR="006142C5" w:rsidRPr="00E22ECF">
        <w:t xml:space="preserve"> non-sector related employment</w:t>
      </w:r>
      <w:r w:rsidR="00E94B77" w:rsidRPr="00E22ECF">
        <w:t xml:space="preserve">; or extra-curricular </w:t>
      </w:r>
      <w:r w:rsidR="00A35FC1" w:rsidRPr="00E22ECF">
        <w:t>activities</w:t>
      </w:r>
    </w:p>
    <w:p w14:paraId="52DF3078" w14:textId="6243B722" w:rsidR="00202277" w:rsidRPr="00E22ECF" w:rsidRDefault="00202277" w:rsidP="00E22ECF">
      <w:pPr>
        <w:pStyle w:val="ListParagraph"/>
        <w:numPr>
          <w:ilvl w:val="0"/>
          <w:numId w:val="36"/>
        </w:numPr>
      </w:pPr>
      <w:r w:rsidRPr="00E22ECF">
        <w:t>Ideally you will draw from experiences from the last 2-3 years to emphasise your skills</w:t>
      </w:r>
      <w:r w:rsidR="00B92A60" w:rsidRPr="00E22ECF">
        <w:t>/knowledge/experience/qualities</w:t>
      </w:r>
      <w:r w:rsidRPr="00E22ECF">
        <w:t xml:space="preserve"> but </w:t>
      </w:r>
      <w:r w:rsidR="002859A7" w:rsidRPr="00E22ECF">
        <w:t xml:space="preserve">if you have historical experience that is very relevant it </w:t>
      </w:r>
      <w:r w:rsidR="00CD5EDA" w:rsidRPr="00E22ECF">
        <w:t xml:space="preserve">would </w:t>
      </w:r>
      <w:r w:rsidR="002859A7" w:rsidRPr="00E22ECF">
        <w:t xml:space="preserve">also be appropriate to </w:t>
      </w:r>
      <w:r w:rsidR="001C2DCF" w:rsidRPr="00E22ECF">
        <w:t>highlight this</w:t>
      </w:r>
    </w:p>
    <w:p w14:paraId="7C1EAC06" w14:textId="14FC7CC2" w:rsidR="00055EAA" w:rsidRPr="00E22ECF" w:rsidRDefault="00055EAA" w:rsidP="00E22ECF">
      <w:pPr>
        <w:pStyle w:val="ListParagraph"/>
        <w:numPr>
          <w:ilvl w:val="0"/>
          <w:numId w:val="36"/>
        </w:numPr>
      </w:pPr>
      <w:r w:rsidRPr="00E22ECF">
        <w:t xml:space="preserve">Your response is being assessed on its professional suitability and how you link your </w:t>
      </w:r>
      <w:r w:rsidR="00F04323" w:rsidRPr="00E22ECF">
        <w:t>skills/knowledge/experience/qualities</w:t>
      </w:r>
      <w:r w:rsidR="009A4515" w:rsidRPr="00E22ECF">
        <w:t xml:space="preserve"> to the criterion</w:t>
      </w:r>
      <w:r w:rsidRPr="00E22ECF">
        <w:t>. It is not assessed on the amount or type of experiences that you have had.</w:t>
      </w:r>
    </w:p>
    <w:p w14:paraId="21EAB924" w14:textId="580820E0" w:rsidR="00FF7525" w:rsidRPr="00E22ECF" w:rsidRDefault="00F04323" w:rsidP="00E22ECF">
      <w:pPr>
        <w:pStyle w:val="ListParagraph"/>
        <w:numPr>
          <w:ilvl w:val="0"/>
          <w:numId w:val="36"/>
        </w:numPr>
      </w:pPr>
      <w:r w:rsidRPr="00E22ECF">
        <w:t>Ensure formatting is professional and presentable</w:t>
      </w:r>
      <w:r w:rsidR="00C51DFE" w:rsidRPr="00E22ECF">
        <w:t xml:space="preserve"> – think of the reader</w:t>
      </w:r>
      <w:r w:rsidR="00F36DDA" w:rsidRPr="00E22ECF">
        <w:t xml:space="preserve"> and how easily they can dissect/assess your response against each criterion</w:t>
      </w:r>
    </w:p>
    <w:p w14:paraId="0C0E9A44" w14:textId="13BD8319" w:rsidR="00FF7525" w:rsidRPr="008D6C6D" w:rsidRDefault="00FF7525" w:rsidP="00E22ECF">
      <w:pPr>
        <w:pStyle w:val="Heading2"/>
      </w:pPr>
      <w:r w:rsidRPr="00FF7525">
        <w:t xml:space="preserve">Resources </w:t>
      </w:r>
      <w:r>
        <w:t>to help you</w:t>
      </w:r>
    </w:p>
    <w:p w14:paraId="38F0B81B" w14:textId="0C6A7135" w:rsidR="0077316E" w:rsidRPr="00E22ECF" w:rsidRDefault="008D6C6D" w:rsidP="00E22ECF">
      <w:pPr>
        <w:pStyle w:val="ListParagraph"/>
        <w:numPr>
          <w:ilvl w:val="0"/>
          <w:numId w:val="35"/>
        </w:numPr>
      </w:pPr>
      <w:r w:rsidRPr="00E22ECF">
        <w:t xml:space="preserve">For general tips and tricks for preparing selection criteria you may also like to attend a </w:t>
      </w:r>
      <w:hyperlink r:id="rId13" w:history="1">
        <w:r w:rsidRPr="00E22ECF">
          <w:rPr>
            <w:rStyle w:val="Hyperlink"/>
          </w:rPr>
          <w:t>Selection Criteria Hack</w:t>
        </w:r>
      </w:hyperlink>
      <w:r w:rsidR="00856C84" w:rsidRPr="00E22ECF">
        <w:t xml:space="preserve"> workshop</w:t>
      </w:r>
      <w:r w:rsidRPr="00E22ECF">
        <w:t xml:space="preserve"> or access a </w:t>
      </w:r>
      <w:hyperlink r:id="rId14" w:history="1">
        <w:r w:rsidRPr="00E22ECF">
          <w:rPr>
            <w:rStyle w:val="Hyperlink"/>
          </w:rPr>
          <w:t>recording</w:t>
        </w:r>
      </w:hyperlink>
    </w:p>
    <w:p w14:paraId="0A5E86CD" w14:textId="77777777" w:rsidR="00E22ECF" w:rsidRDefault="0077316E" w:rsidP="00E22ECF">
      <w:pPr>
        <w:pStyle w:val="Heading2"/>
      </w:pPr>
      <w:r>
        <w:t>Information</w:t>
      </w:r>
      <w:r w:rsidR="00391259">
        <w:t xml:space="preserve"> for Topic Coordinator</w:t>
      </w:r>
    </w:p>
    <w:p w14:paraId="5CD75134" w14:textId="67660FAE" w:rsidR="00391259" w:rsidRPr="00E22ECF" w:rsidRDefault="003A6365" w:rsidP="00E22ECF">
      <w:r w:rsidRPr="00E22ECF">
        <w:t xml:space="preserve">This </w:t>
      </w:r>
      <w:r w:rsidR="01426FE1" w:rsidRPr="00E22ECF">
        <w:t>task</w:t>
      </w:r>
      <w:r w:rsidRPr="00E22ECF">
        <w:t xml:space="preserve"> could be a precursor to </w:t>
      </w:r>
      <w:r w:rsidR="0084327A" w:rsidRPr="00E22ECF">
        <w:t>either of the two</w:t>
      </w:r>
      <w:r w:rsidRPr="00E22ECF">
        <w:t xml:space="preserve"> Interview </w:t>
      </w:r>
      <w:r w:rsidR="00EB7803" w:rsidRPr="00E22ECF">
        <w:t>tasks</w:t>
      </w:r>
      <w:r w:rsidRPr="00E22ECF">
        <w:t>.</w:t>
      </w:r>
    </w:p>
    <w:p w14:paraId="37FE67EF" w14:textId="77777777" w:rsidR="00125A54" w:rsidRPr="00E22ECF" w:rsidRDefault="00125A54" w:rsidP="00E22ECF">
      <w:pPr>
        <w:rPr>
          <w:b/>
          <w:bCs/>
        </w:rPr>
      </w:pPr>
      <w:r w:rsidRPr="00E22ECF">
        <w:rPr>
          <w:b/>
          <w:bCs/>
        </w:rPr>
        <w:t>Students should always be directed to read and follow application instructions</w:t>
      </w:r>
    </w:p>
    <w:p w14:paraId="35E60807" w14:textId="77777777" w:rsidR="00125A54" w:rsidRPr="00E22ECF" w:rsidRDefault="00125A54" w:rsidP="00E22ECF">
      <w:pPr>
        <w:pBdr>
          <w:top w:val="single" w:sz="4" w:space="1" w:color="auto"/>
          <w:left w:val="single" w:sz="4" w:space="4" w:color="auto"/>
          <w:bottom w:val="single" w:sz="4" w:space="1" w:color="auto"/>
          <w:right w:val="single" w:sz="4" w:space="4" w:color="auto"/>
        </w:pBdr>
        <w:rPr>
          <w:b/>
          <w:bCs/>
        </w:rPr>
      </w:pPr>
      <w:r w:rsidRPr="00E22ECF">
        <w:rPr>
          <w:b/>
          <w:bCs/>
        </w:rPr>
        <w:t>Job Hacks sessions</w:t>
      </w:r>
    </w:p>
    <w:p w14:paraId="54CEC3F7" w14:textId="3472EB22" w:rsidR="00125A54" w:rsidRPr="00E22ECF" w:rsidRDefault="00125A54" w:rsidP="00E22ECF">
      <w:pPr>
        <w:pBdr>
          <w:top w:val="single" w:sz="4" w:space="1" w:color="auto"/>
          <w:left w:val="single" w:sz="4" w:space="4" w:color="auto"/>
          <w:bottom w:val="single" w:sz="4" w:space="1" w:color="auto"/>
          <w:right w:val="single" w:sz="4" w:space="4" w:color="auto"/>
        </w:pBdr>
      </w:pPr>
      <w:r w:rsidRPr="00E22ECF">
        <w:t xml:space="preserve">The Careers and Employability team run regular </w:t>
      </w:r>
      <w:hyperlink r:id="rId15" w:history="1">
        <w:r w:rsidRPr="00E22ECF">
          <w:rPr>
            <w:rStyle w:val="Hyperlink"/>
          </w:rPr>
          <w:t>Job Hacks sessions</w:t>
        </w:r>
      </w:hyperlink>
      <w:r w:rsidRPr="00E22ECF">
        <w:t xml:space="preserve"> on preparing </w:t>
      </w:r>
      <w:r w:rsidR="00CD2E74" w:rsidRPr="00E22ECF">
        <w:t>selection criteria</w:t>
      </w:r>
      <w:r w:rsidRPr="00E22ECF">
        <w:t xml:space="preserve"> which are open to all students. With sufficient notice, these sessions may be aligned with teaching or students may be encouraged to book into a session outside of teaching. Contact the Careers and Employability Service </w:t>
      </w:r>
      <w:hyperlink r:id="rId16" w:history="1">
        <w:r w:rsidRPr="00E22ECF">
          <w:rPr>
            <w:rStyle w:val="Hyperlink"/>
          </w:rPr>
          <w:t>careers@flinders.edu.au</w:t>
        </w:r>
      </w:hyperlink>
      <w:r w:rsidRPr="00E22ECF">
        <w:t> or 8201 2832 if you would like to discuss options.</w:t>
      </w:r>
    </w:p>
    <w:p w14:paraId="1B40C941" w14:textId="49CBCF29" w:rsidR="00125A54" w:rsidRPr="00E22ECF" w:rsidRDefault="00125A54" w:rsidP="00E22ECF"/>
    <w:p w14:paraId="596A491A" w14:textId="274F06BA" w:rsidR="00231AAB" w:rsidRPr="00E22ECF" w:rsidRDefault="00231AAB" w:rsidP="00E22ECF"/>
    <w:sectPr w:rsidR="00231AAB" w:rsidRPr="00E22ECF" w:rsidSect="00333443">
      <w:footerReference w:type="default" r:id="rId17"/>
      <w:pgSz w:w="11906" w:h="16838"/>
      <w:pgMar w:top="79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5771" w14:textId="77777777" w:rsidR="006A337C" w:rsidRDefault="006A337C" w:rsidP="003C5D77">
      <w:pPr>
        <w:spacing w:after="0"/>
      </w:pPr>
      <w:r>
        <w:separator/>
      </w:r>
    </w:p>
  </w:endnote>
  <w:endnote w:type="continuationSeparator" w:id="0">
    <w:p w14:paraId="18D4570D" w14:textId="77777777" w:rsidR="006A337C" w:rsidRDefault="006A337C" w:rsidP="003C5D77">
      <w:pPr>
        <w:spacing w:after="0"/>
      </w:pPr>
      <w:r>
        <w:continuationSeparator/>
      </w:r>
    </w:p>
  </w:endnote>
  <w:endnote w:type="continuationNotice" w:id="1">
    <w:p w14:paraId="4A093BA9" w14:textId="77777777" w:rsidR="006A337C" w:rsidRDefault="006A33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FA71" w14:textId="50CD9448" w:rsidR="00FB5361" w:rsidRDefault="00FB5361" w:rsidP="00FB5361">
    <w:pPr>
      <w:pStyle w:val="Footer"/>
      <w:jc w:val="center"/>
      <w:rPr>
        <w:sz w:val="16"/>
        <w:szCs w:val="16"/>
      </w:rPr>
    </w:pPr>
    <w:r>
      <w:rPr>
        <w:color w:val="000000"/>
        <w:sz w:val="16"/>
        <w:szCs w:val="16"/>
        <w:shd w:val="clear" w:color="auto" w:fill="FFFFFF"/>
      </w:rPr>
      <w:t xml:space="preserve">Adapted from IRU Employability Assessment Toolkit </w:t>
    </w:r>
  </w:p>
  <w:p w14:paraId="0AC40DA7" w14:textId="5624F253" w:rsidR="003C5D77" w:rsidRPr="003A5BD1" w:rsidRDefault="003A5BD1" w:rsidP="003A5BD1">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E22ECF">
      <w:rPr>
        <w:rFonts w:cstheme="minorHAnsi"/>
        <w:noProof/>
      </w:rPr>
      <w:t>18 October 2021</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BAA8" w14:textId="77777777" w:rsidR="006A337C" w:rsidRDefault="006A337C" w:rsidP="003C5D77">
      <w:pPr>
        <w:spacing w:after="0"/>
      </w:pPr>
      <w:r>
        <w:separator/>
      </w:r>
    </w:p>
  </w:footnote>
  <w:footnote w:type="continuationSeparator" w:id="0">
    <w:p w14:paraId="6843E6C5" w14:textId="77777777" w:rsidR="006A337C" w:rsidRDefault="006A337C" w:rsidP="003C5D77">
      <w:pPr>
        <w:spacing w:after="0"/>
      </w:pPr>
      <w:r>
        <w:continuationSeparator/>
      </w:r>
    </w:p>
  </w:footnote>
  <w:footnote w:type="continuationNotice" w:id="1">
    <w:p w14:paraId="60A387CF" w14:textId="77777777" w:rsidR="006A337C" w:rsidRDefault="006A33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19FF"/>
    <w:multiLevelType w:val="hybridMultilevel"/>
    <w:tmpl w:val="21A28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2E0A27"/>
    <w:multiLevelType w:val="multilevel"/>
    <w:tmpl w:val="71A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0647A"/>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23C9F"/>
    <w:multiLevelType w:val="hybridMultilevel"/>
    <w:tmpl w:val="CEBA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A40A6"/>
    <w:multiLevelType w:val="hybridMultilevel"/>
    <w:tmpl w:val="A58C9E4A"/>
    <w:lvl w:ilvl="0" w:tplc="0C090001">
      <w:start w:val="1"/>
      <w:numFmt w:val="bullet"/>
      <w:lvlText w:val=""/>
      <w:lvlJc w:val="left"/>
      <w:pPr>
        <w:ind w:left="1276" w:hanging="360"/>
      </w:pPr>
      <w:rPr>
        <w:rFonts w:ascii="Symbol" w:hAnsi="Symbol"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7" w15:restartNumberingAfterBreak="0">
    <w:nsid w:val="25B2445A"/>
    <w:multiLevelType w:val="hybridMultilevel"/>
    <w:tmpl w:val="DE748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E4642"/>
    <w:multiLevelType w:val="hybridMultilevel"/>
    <w:tmpl w:val="10062702"/>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7407B5F"/>
    <w:multiLevelType w:val="hybridMultilevel"/>
    <w:tmpl w:val="5D56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107417"/>
    <w:multiLevelType w:val="hybridMultilevel"/>
    <w:tmpl w:val="BF82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12"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463F63"/>
    <w:multiLevelType w:val="hybridMultilevel"/>
    <w:tmpl w:val="0BE80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563BFB"/>
    <w:multiLevelType w:val="hybridMultilevel"/>
    <w:tmpl w:val="72C687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8058A4"/>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532C7"/>
    <w:multiLevelType w:val="hybridMultilevel"/>
    <w:tmpl w:val="8892E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E702EC"/>
    <w:multiLevelType w:val="hybridMultilevel"/>
    <w:tmpl w:val="99B41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969EB"/>
    <w:multiLevelType w:val="hybridMultilevel"/>
    <w:tmpl w:val="4D50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D63A98"/>
    <w:multiLevelType w:val="hybridMultilevel"/>
    <w:tmpl w:val="84764608"/>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22B7845"/>
    <w:multiLevelType w:val="hybridMultilevel"/>
    <w:tmpl w:val="83806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F2117E"/>
    <w:multiLevelType w:val="hybridMultilevel"/>
    <w:tmpl w:val="7ED8B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2A72D1"/>
    <w:multiLevelType w:val="hybridMultilevel"/>
    <w:tmpl w:val="2B302BB4"/>
    <w:lvl w:ilvl="0" w:tplc="F3B8797C">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0E6812"/>
    <w:multiLevelType w:val="hybridMultilevel"/>
    <w:tmpl w:val="85487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7D4F89"/>
    <w:multiLevelType w:val="hybridMultilevel"/>
    <w:tmpl w:val="AF46C658"/>
    <w:lvl w:ilvl="0" w:tplc="C172E4B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95364E4"/>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2CA7909"/>
    <w:multiLevelType w:val="hybridMultilevel"/>
    <w:tmpl w:val="24703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6D656E"/>
    <w:multiLevelType w:val="hybridMultilevel"/>
    <w:tmpl w:val="E4D20B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885418"/>
    <w:multiLevelType w:val="hybridMultilevel"/>
    <w:tmpl w:val="BA1EB0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0"/>
  </w:num>
  <w:num w:numId="7">
    <w:abstractNumId w:val="12"/>
  </w:num>
  <w:num w:numId="8">
    <w:abstractNumId w:val="5"/>
  </w:num>
  <w:num w:numId="9">
    <w:abstractNumId w:val="15"/>
  </w:num>
  <w:num w:numId="10">
    <w:abstractNumId w:val="26"/>
  </w:num>
  <w:num w:numId="11">
    <w:abstractNumId w:val="20"/>
  </w:num>
  <w:num w:numId="12">
    <w:abstractNumId w:val="22"/>
  </w:num>
  <w:num w:numId="13">
    <w:abstractNumId w:val="11"/>
  </w:num>
  <w:num w:numId="14">
    <w:abstractNumId w:val="29"/>
  </w:num>
  <w:num w:numId="15">
    <w:abstractNumId w:val="8"/>
  </w:num>
  <w:num w:numId="16">
    <w:abstractNumId w:val="6"/>
  </w:num>
  <w:num w:numId="17">
    <w:abstractNumId w:val="21"/>
  </w:num>
  <w:num w:numId="18">
    <w:abstractNumId w:val="27"/>
  </w:num>
  <w:num w:numId="19">
    <w:abstractNumId w:val="1"/>
  </w:num>
  <w:num w:numId="20">
    <w:abstractNumId w:val="25"/>
  </w:num>
  <w:num w:numId="21">
    <w:abstractNumId w:val="16"/>
  </w:num>
  <w:num w:numId="22">
    <w:abstractNumId w:val="2"/>
  </w:num>
  <w:num w:numId="23">
    <w:abstractNumId w:val="9"/>
  </w:num>
  <w:num w:numId="24">
    <w:abstractNumId w:val="13"/>
  </w:num>
  <w:num w:numId="25">
    <w:abstractNumId w:val="14"/>
  </w:num>
  <w:num w:numId="26">
    <w:abstractNumId w:val="34"/>
  </w:num>
  <w:num w:numId="27">
    <w:abstractNumId w:val="35"/>
  </w:num>
  <w:num w:numId="28">
    <w:abstractNumId w:val="33"/>
  </w:num>
  <w:num w:numId="29">
    <w:abstractNumId w:val="28"/>
  </w:num>
  <w:num w:numId="30">
    <w:abstractNumId w:val="19"/>
  </w:num>
  <w:num w:numId="31">
    <w:abstractNumId w:val="7"/>
  </w:num>
  <w:num w:numId="32">
    <w:abstractNumId w:val="31"/>
  </w:num>
  <w:num w:numId="33">
    <w:abstractNumId w:val="0"/>
  </w:num>
  <w:num w:numId="34">
    <w:abstractNumId w:val="17"/>
  </w:num>
  <w:num w:numId="35">
    <w:abstractNumId w:val="18"/>
  </w:num>
  <w:num w:numId="36">
    <w:abstractNumId w:val="10"/>
  </w:num>
  <w:num w:numId="37">
    <w:abstractNumId w:val="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2499"/>
    <w:rsid w:val="00012667"/>
    <w:rsid w:val="0002039D"/>
    <w:rsid w:val="00051F91"/>
    <w:rsid w:val="00055EAA"/>
    <w:rsid w:val="00074710"/>
    <w:rsid w:val="00094E1F"/>
    <w:rsid w:val="00095BD7"/>
    <w:rsid w:val="000C1F43"/>
    <w:rsid w:val="000E73FE"/>
    <w:rsid w:val="000F733F"/>
    <w:rsid w:val="00100BF6"/>
    <w:rsid w:val="00120F95"/>
    <w:rsid w:val="00125A54"/>
    <w:rsid w:val="00134C94"/>
    <w:rsid w:val="0014328F"/>
    <w:rsid w:val="00144B58"/>
    <w:rsid w:val="001525FB"/>
    <w:rsid w:val="001641B4"/>
    <w:rsid w:val="00191B8C"/>
    <w:rsid w:val="001A0FDE"/>
    <w:rsid w:val="001A3B18"/>
    <w:rsid w:val="001B26B7"/>
    <w:rsid w:val="001C2DCF"/>
    <w:rsid w:val="001E623C"/>
    <w:rsid w:val="00202277"/>
    <w:rsid w:val="00204F30"/>
    <w:rsid w:val="00214184"/>
    <w:rsid w:val="00217F10"/>
    <w:rsid w:val="00221DD9"/>
    <w:rsid w:val="00231AAB"/>
    <w:rsid w:val="00265486"/>
    <w:rsid w:val="00284AEF"/>
    <w:rsid w:val="002859A7"/>
    <w:rsid w:val="00294C36"/>
    <w:rsid w:val="002F0E8D"/>
    <w:rsid w:val="00312BA4"/>
    <w:rsid w:val="0032515A"/>
    <w:rsid w:val="00333443"/>
    <w:rsid w:val="003375EA"/>
    <w:rsid w:val="00337648"/>
    <w:rsid w:val="00356E87"/>
    <w:rsid w:val="00365129"/>
    <w:rsid w:val="003663C7"/>
    <w:rsid w:val="00367197"/>
    <w:rsid w:val="00376878"/>
    <w:rsid w:val="00391259"/>
    <w:rsid w:val="003A5BD1"/>
    <w:rsid w:val="003A6365"/>
    <w:rsid w:val="003B003C"/>
    <w:rsid w:val="003C0194"/>
    <w:rsid w:val="003C1B25"/>
    <w:rsid w:val="003C5D77"/>
    <w:rsid w:val="003F36B8"/>
    <w:rsid w:val="00405267"/>
    <w:rsid w:val="00405B84"/>
    <w:rsid w:val="00406A32"/>
    <w:rsid w:val="0042164F"/>
    <w:rsid w:val="00422226"/>
    <w:rsid w:val="0042785E"/>
    <w:rsid w:val="00427D47"/>
    <w:rsid w:val="00437709"/>
    <w:rsid w:val="00441537"/>
    <w:rsid w:val="00464345"/>
    <w:rsid w:val="004721F3"/>
    <w:rsid w:val="004727AE"/>
    <w:rsid w:val="004809C6"/>
    <w:rsid w:val="004926B0"/>
    <w:rsid w:val="0049363F"/>
    <w:rsid w:val="004A07E2"/>
    <w:rsid w:val="004A3890"/>
    <w:rsid w:val="004C55E9"/>
    <w:rsid w:val="004E2282"/>
    <w:rsid w:val="004F50FC"/>
    <w:rsid w:val="004F5DDE"/>
    <w:rsid w:val="00510A16"/>
    <w:rsid w:val="005405F0"/>
    <w:rsid w:val="00543734"/>
    <w:rsid w:val="00556ACE"/>
    <w:rsid w:val="0055725C"/>
    <w:rsid w:val="00580E3B"/>
    <w:rsid w:val="005B0593"/>
    <w:rsid w:val="005B4554"/>
    <w:rsid w:val="005C083E"/>
    <w:rsid w:val="00601096"/>
    <w:rsid w:val="00605C6B"/>
    <w:rsid w:val="006142C5"/>
    <w:rsid w:val="00617E39"/>
    <w:rsid w:val="00620CE1"/>
    <w:rsid w:val="00650A63"/>
    <w:rsid w:val="00656642"/>
    <w:rsid w:val="00675ABA"/>
    <w:rsid w:val="0069207A"/>
    <w:rsid w:val="006A337C"/>
    <w:rsid w:val="006B0A3A"/>
    <w:rsid w:val="006D068B"/>
    <w:rsid w:val="006F2637"/>
    <w:rsid w:val="00715236"/>
    <w:rsid w:val="0071535C"/>
    <w:rsid w:val="00730BF2"/>
    <w:rsid w:val="00735F14"/>
    <w:rsid w:val="00736745"/>
    <w:rsid w:val="00737706"/>
    <w:rsid w:val="0075374C"/>
    <w:rsid w:val="0075441C"/>
    <w:rsid w:val="0075622E"/>
    <w:rsid w:val="0077316E"/>
    <w:rsid w:val="0078257B"/>
    <w:rsid w:val="007866FB"/>
    <w:rsid w:val="0079244D"/>
    <w:rsid w:val="007951E5"/>
    <w:rsid w:val="00795F4B"/>
    <w:rsid w:val="007A2B92"/>
    <w:rsid w:val="007B1D09"/>
    <w:rsid w:val="007D17C8"/>
    <w:rsid w:val="007E555C"/>
    <w:rsid w:val="007F6B92"/>
    <w:rsid w:val="00816CD9"/>
    <w:rsid w:val="00822F2E"/>
    <w:rsid w:val="00827F43"/>
    <w:rsid w:val="00840509"/>
    <w:rsid w:val="0084327A"/>
    <w:rsid w:val="00846E68"/>
    <w:rsid w:val="00856C84"/>
    <w:rsid w:val="00862DF1"/>
    <w:rsid w:val="0086509B"/>
    <w:rsid w:val="0087402A"/>
    <w:rsid w:val="008774F0"/>
    <w:rsid w:val="00883F61"/>
    <w:rsid w:val="008978B1"/>
    <w:rsid w:val="008B7D80"/>
    <w:rsid w:val="008C5B3F"/>
    <w:rsid w:val="008D6C6D"/>
    <w:rsid w:val="008D7CDA"/>
    <w:rsid w:val="009307FD"/>
    <w:rsid w:val="00933E69"/>
    <w:rsid w:val="00935C4D"/>
    <w:rsid w:val="0095068E"/>
    <w:rsid w:val="00954E71"/>
    <w:rsid w:val="0097298E"/>
    <w:rsid w:val="009766B6"/>
    <w:rsid w:val="00983AE2"/>
    <w:rsid w:val="009A0114"/>
    <w:rsid w:val="009A4515"/>
    <w:rsid w:val="009A47DD"/>
    <w:rsid w:val="009C0BF9"/>
    <w:rsid w:val="009D0635"/>
    <w:rsid w:val="009F4746"/>
    <w:rsid w:val="00A043B1"/>
    <w:rsid w:val="00A0762C"/>
    <w:rsid w:val="00A10E65"/>
    <w:rsid w:val="00A35FC1"/>
    <w:rsid w:val="00A360C8"/>
    <w:rsid w:val="00A40886"/>
    <w:rsid w:val="00A568B6"/>
    <w:rsid w:val="00A8243F"/>
    <w:rsid w:val="00A94AFE"/>
    <w:rsid w:val="00A976C9"/>
    <w:rsid w:val="00AA1210"/>
    <w:rsid w:val="00AC108F"/>
    <w:rsid w:val="00AD4027"/>
    <w:rsid w:val="00AF014C"/>
    <w:rsid w:val="00AF6C8E"/>
    <w:rsid w:val="00AF73BB"/>
    <w:rsid w:val="00B00615"/>
    <w:rsid w:val="00B07551"/>
    <w:rsid w:val="00B121F6"/>
    <w:rsid w:val="00B26A75"/>
    <w:rsid w:val="00B36542"/>
    <w:rsid w:val="00B4685A"/>
    <w:rsid w:val="00B5110E"/>
    <w:rsid w:val="00B53F07"/>
    <w:rsid w:val="00B55241"/>
    <w:rsid w:val="00B80C55"/>
    <w:rsid w:val="00B92A60"/>
    <w:rsid w:val="00BA169D"/>
    <w:rsid w:val="00BA16AF"/>
    <w:rsid w:val="00BC1E40"/>
    <w:rsid w:val="00BC6A98"/>
    <w:rsid w:val="00BD4988"/>
    <w:rsid w:val="00BD6309"/>
    <w:rsid w:val="00BD6628"/>
    <w:rsid w:val="00BF5FE9"/>
    <w:rsid w:val="00C131B7"/>
    <w:rsid w:val="00C20B3B"/>
    <w:rsid w:val="00C232FE"/>
    <w:rsid w:val="00C24EBF"/>
    <w:rsid w:val="00C36852"/>
    <w:rsid w:val="00C44152"/>
    <w:rsid w:val="00C51DFE"/>
    <w:rsid w:val="00C55575"/>
    <w:rsid w:val="00C64630"/>
    <w:rsid w:val="00C72C89"/>
    <w:rsid w:val="00CA5DE7"/>
    <w:rsid w:val="00CD2E74"/>
    <w:rsid w:val="00CD5EDA"/>
    <w:rsid w:val="00CD7FB6"/>
    <w:rsid w:val="00D02F91"/>
    <w:rsid w:val="00D54F63"/>
    <w:rsid w:val="00D620FD"/>
    <w:rsid w:val="00D803C0"/>
    <w:rsid w:val="00D8227C"/>
    <w:rsid w:val="00D85801"/>
    <w:rsid w:val="00DA55A7"/>
    <w:rsid w:val="00DB6A3C"/>
    <w:rsid w:val="00DC448E"/>
    <w:rsid w:val="00DD0637"/>
    <w:rsid w:val="00DF7117"/>
    <w:rsid w:val="00E10156"/>
    <w:rsid w:val="00E10568"/>
    <w:rsid w:val="00E22ECF"/>
    <w:rsid w:val="00E26ECE"/>
    <w:rsid w:val="00E3343B"/>
    <w:rsid w:val="00E37D2E"/>
    <w:rsid w:val="00E47600"/>
    <w:rsid w:val="00E47D67"/>
    <w:rsid w:val="00E50EE6"/>
    <w:rsid w:val="00E63811"/>
    <w:rsid w:val="00E94B77"/>
    <w:rsid w:val="00EA0895"/>
    <w:rsid w:val="00EB5570"/>
    <w:rsid w:val="00EB7803"/>
    <w:rsid w:val="00EC0206"/>
    <w:rsid w:val="00EE2D41"/>
    <w:rsid w:val="00F04323"/>
    <w:rsid w:val="00F05611"/>
    <w:rsid w:val="00F064F9"/>
    <w:rsid w:val="00F1649C"/>
    <w:rsid w:val="00F22541"/>
    <w:rsid w:val="00F347B1"/>
    <w:rsid w:val="00F36DDA"/>
    <w:rsid w:val="00F37171"/>
    <w:rsid w:val="00F61A8F"/>
    <w:rsid w:val="00F62507"/>
    <w:rsid w:val="00F62ECF"/>
    <w:rsid w:val="00F74FF4"/>
    <w:rsid w:val="00F81309"/>
    <w:rsid w:val="00F94A92"/>
    <w:rsid w:val="00FA6FF0"/>
    <w:rsid w:val="00FB5361"/>
    <w:rsid w:val="00FC7AF9"/>
    <w:rsid w:val="00FE599B"/>
    <w:rsid w:val="00FF7525"/>
    <w:rsid w:val="01426FE1"/>
    <w:rsid w:val="08AD3704"/>
    <w:rsid w:val="0A8DE83E"/>
    <w:rsid w:val="0ADC264E"/>
    <w:rsid w:val="0F6268FA"/>
    <w:rsid w:val="14DB7083"/>
    <w:rsid w:val="1B3F605F"/>
    <w:rsid w:val="1E63A534"/>
    <w:rsid w:val="2031E3BE"/>
    <w:rsid w:val="2113AB47"/>
    <w:rsid w:val="237D45D8"/>
    <w:rsid w:val="253F1E0D"/>
    <w:rsid w:val="26D74C87"/>
    <w:rsid w:val="2BA95FFA"/>
    <w:rsid w:val="3613884C"/>
    <w:rsid w:val="368B0661"/>
    <w:rsid w:val="384715EC"/>
    <w:rsid w:val="3F5343E5"/>
    <w:rsid w:val="400D8635"/>
    <w:rsid w:val="4037BA8B"/>
    <w:rsid w:val="428495B3"/>
    <w:rsid w:val="47A7F5BA"/>
    <w:rsid w:val="486FC872"/>
    <w:rsid w:val="49331949"/>
    <w:rsid w:val="53B3C35A"/>
    <w:rsid w:val="5488DE56"/>
    <w:rsid w:val="5A064859"/>
    <w:rsid w:val="5C86997B"/>
    <w:rsid w:val="5CD6AAEF"/>
    <w:rsid w:val="5DA30821"/>
    <w:rsid w:val="5F4C1FFF"/>
    <w:rsid w:val="60F91E6B"/>
    <w:rsid w:val="64B6C241"/>
    <w:rsid w:val="65CCBBE4"/>
    <w:rsid w:val="699B69C0"/>
    <w:rsid w:val="6E003BE1"/>
    <w:rsid w:val="6F465987"/>
    <w:rsid w:val="79359885"/>
    <w:rsid w:val="7B90C5A5"/>
    <w:rsid w:val="7CB9155B"/>
    <w:rsid w:val="7EB887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3E362D1B-971F-489F-AC06-9D50C405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CF"/>
    <w:pPr>
      <w:spacing w:after="12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49363F"/>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E22ECF"/>
    <w:pPr>
      <w:spacing w:before="240"/>
      <w:outlineLvl w:val="1"/>
    </w:pPr>
    <w:rPr>
      <w:rFonts w:cstheme="minorHAns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63F"/>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9363F"/>
    <w:rPr>
      <w:rFonts w:asciiTheme="minorHAnsi" w:eastAsiaTheme="majorEastAsia" w:hAnsiTheme="minorHAnsi" w:cstheme="majorBidi"/>
      <w:b/>
      <w:bCs/>
      <w:sz w:val="28"/>
      <w:szCs w:val="28"/>
    </w:rPr>
  </w:style>
  <w:style w:type="paragraph" w:styleId="BodyText">
    <w:name w:val="Body Text"/>
    <w:basedOn w:val="Normal"/>
    <w:link w:val="BodyTextChar"/>
    <w:uiPriority w:val="99"/>
    <w:semiHidden/>
    <w:unhideWhenUsed/>
    <w:rsid w:val="00012499"/>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E63811"/>
    <w:rPr>
      <w:color w:val="0563C1" w:themeColor="hyperlink"/>
      <w:u w:val="single"/>
    </w:rPr>
  </w:style>
  <w:style w:type="paragraph" w:styleId="NormalWeb">
    <w:name w:val="Normal (Web)"/>
    <w:basedOn w:val="Normal"/>
    <w:uiPriority w:val="99"/>
    <w:unhideWhenUsed/>
    <w:rsid w:val="00F347B1"/>
    <w:pPr>
      <w:spacing w:before="100" w:beforeAutospacing="1" w:after="100" w:afterAutospacing="1"/>
    </w:pPr>
    <w:rPr>
      <w:rFonts w:ascii="Times New Roman" w:eastAsia="Times New Roman" w:hAnsi="Times New Roman" w:cs="Times New Roman"/>
      <w:sz w:val="24"/>
      <w:lang w:eastAsia="en-AU"/>
    </w:rPr>
  </w:style>
  <w:style w:type="character" w:styleId="UnresolvedMention">
    <w:name w:val="Unresolved Mention"/>
    <w:basedOn w:val="DefaultParagraphFont"/>
    <w:uiPriority w:val="99"/>
    <w:semiHidden/>
    <w:unhideWhenUsed/>
    <w:rsid w:val="00051F91"/>
    <w:rPr>
      <w:color w:val="605E5C"/>
      <w:shd w:val="clear" w:color="auto" w:fill="E1DFDD"/>
    </w:rPr>
  </w:style>
  <w:style w:type="character" w:styleId="CommentReference">
    <w:name w:val="annotation reference"/>
    <w:basedOn w:val="DefaultParagraphFont"/>
    <w:uiPriority w:val="99"/>
    <w:semiHidden/>
    <w:unhideWhenUsed/>
    <w:rsid w:val="00051F91"/>
    <w:rPr>
      <w:sz w:val="16"/>
      <w:szCs w:val="16"/>
    </w:rPr>
  </w:style>
  <w:style w:type="paragraph" w:styleId="CommentText">
    <w:name w:val="annotation text"/>
    <w:basedOn w:val="Normal"/>
    <w:link w:val="CommentTextChar"/>
    <w:uiPriority w:val="99"/>
    <w:semiHidden/>
    <w:unhideWhenUsed/>
    <w:rsid w:val="00051F91"/>
    <w:rPr>
      <w:szCs w:val="20"/>
    </w:rPr>
  </w:style>
  <w:style w:type="character" w:customStyle="1" w:styleId="CommentTextChar">
    <w:name w:val="Comment Text Char"/>
    <w:basedOn w:val="DefaultParagraphFont"/>
    <w:link w:val="CommentText"/>
    <w:uiPriority w:val="99"/>
    <w:semiHidden/>
    <w:rsid w:val="00051F91"/>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51F91"/>
    <w:rPr>
      <w:b/>
      <w:bCs/>
    </w:rPr>
  </w:style>
  <w:style w:type="character" w:customStyle="1" w:styleId="CommentSubjectChar">
    <w:name w:val="Comment Subject Char"/>
    <w:basedOn w:val="CommentTextChar"/>
    <w:link w:val="CommentSubject"/>
    <w:uiPriority w:val="99"/>
    <w:semiHidden/>
    <w:rsid w:val="00051F91"/>
    <w:rPr>
      <w:rFonts w:ascii="Roboto" w:hAnsi="Roboto"/>
      <w:b/>
      <w:bCs/>
      <w:sz w:val="20"/>
      <w:szCs w:val="20"/>
    </w:rPr>
  </w:style>
  <w:style w:type="character" w:styleId="FollowedHyperlink">
    <w:name w:val="FollowedHyperlink"/>
    <w:basedOn w:val="DefaultParagraphFont"/>
    <w:uiPriority w:val="99"/>
    <w:semiHidden/>
    <w:unhideWhenUsed/>
    <w:rsid w:val="008D6C6D"/>
    <w:rPr>
      <w:color w:val="954F72" w:themeColor="followedHyperlink"/>
      <w:u w:val="single"/>
    </w:rPr>
  </w:style>
  <w:style w:type="character" w:customStyle="1" w:styleId="Heading2Char">
    <w:name w:val="Heading 2 Char"/>
    <w:basedOn w:val="DefaultParagraphFont"/>
    <w:link w:val="Heading2"/>
    <w:uiPriority w:val="9"/>
    <w:rsid w:val="00E22ECF"/>
    <w:rPr>
      <w:rFonts w:asciiTheme="minorHAnsi" w:eastAsiaTheme="majorEastAsia" w:hAnsiTheme="minorHAnsi" w:cstheme="minorHAnsi"/>
      <w:b/>
      <w:bCs/>
      <w:szCs w:val="22"/>
    </w:rPr>
  </w:style>
  <w:style w:type="paragraph" w:customStyle="1" w:styleId="xmsonormal">
    <w:name w:val="x_msonormal"/>
    <w:basedOn w:val="Normal"/>
    <w:rsid w:val="00125A54"/>
    <w:pPr>
      <w:spacing w:before="100" w:beforeAutospacing="1" w:after="100" w:afterAutospacing="1"/>
    </w:pPr>
    <w:rPr>
      <w:rFonts w:ascii="Roboto" w:eastAsia="Times New Roman" w:hAnsi="Roboto"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3213">
      <w:bodyDiv w:val="1"/>
      <w:marLeft w:val="0"/>
      <w:marRight w:val="0"/>
      <w:marTop w:val="0"/>
      <w:marBottom w:val="0"/>
      <w:divBdr>
        <w:top w:val="none" w:sz="0" w:space="0" w:color="auto"/>
        <w:left w:val="none" w:sz="0" w:space="0" w:color="auto"/>
        <w:bottom w:val="none" w:sz="0" w:space="0" w:color="auto"/>
        <w:right w:val="none" w:sz="0" w:space="0" w:color="auto"/>
      </w:divBdr>
    </w:div>
    <w:div w:id="357774052">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72856207">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844130519">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514494774">
      <w:bodyDiv w:val="1"/>
      <w:marLeft w:val="0"/>
      <w:marRight w:val="0"/>
      <w:marTop w:val="0"/>
      <w:marBottom w:val="0"/>
      <w:divBdr>
        <w:top w:val="none" w:sz="0" w:space="0" w:color="auto"/>
        <w:left w:val="none" w:sz="0" w:space="0" w:color="auto"/>
        <w:bottom w:val="none" w:sz="0" w:space="0" w:color="auto"/>
        <w:right w:val="none" w:sz="0" w:space="0" w:color="auto"/>
      </w:divBdr>
    </w:div>
    <w:div w:id="1539658240">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68408447">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careerhub.flinders.edu.au/students/infoPages/detail/275" TargetMode="External" Type="http://schemas.openxmlformats.org/officeDocument/2006/relationships/hyperlink"/><Relationship Id="rId14" Target="https://flo.flinders.edu.au/course/view.php?id=16394" TargetMode="External" Type="http://schemas.openxmlformats.org/officeDocument/2006/relationships/hyperlink"/><Relationship Id="rId15" Target="https://careerhub.flinders.edu.au/students/infoPages/detail/275" TargetMode="External" Type="http://schemas.openxmlformats.org/officeDocument/2006/relationships/hyperlink"/><Relationship Id="rId16" Target="mailto:careers@flinders.edu.au"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FF5F5-E691-4869-A9DE-D9A559F236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59EE3DB-124E-415F-8364-DBA27F6A39B1}">
  <ds:schemaRefs>
    <ds:schemaRef ds:uri="http://schemas.microsoft.com/sharepoint/v3/contenttype/forms"/>
  </ds:schemaRefs>
</ds:datastoreItem>
</file>

<file path=customXml/itemProps3.xml><?xml version="1.0" encoding="utf-8"?>
<ds:datastoreItem xmlns:ds="http://schemas.openxmlformats.org/officeDocument/2006/customXml" ds:itemID="{1FF0CF70-1BF1-4C6A-A235-F19F46621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Employabilty Assessment Toolkit - Selection Criteria</vt:lpstr>
    </vt:vector>
  </TitlesOfParts>
  <Company>Griffith University</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2021-09-17T01:51:00Z</dcterms:created>
  <dc:creator>Rebecca Eaton</dc:creator>
  <cp:lastModifiedBy>Jason Lange</cp:lastModifiedBy>
  <cp:lastPrinted>2019-01-15T00:06:00Z</cp:lastPrinted>
  <dcterms:modified xsi:type="dcterms:W3CDTF">2021-10-18T02:57:00Z</dcterms:modified>
  <cp:revision>17</cp:revision>
  <dc:title>Selection Criteria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